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477" w:rightChars="151" w:firstLine="284" w:firstLineChars="65"/>
        <w:jc w:val="center"/>
        <w:outlineLvl w:val="0"/>
        <w:rPr>
          <w:rFonts w:hint="eastAsia" w:ascii="方正小标宋简体" w:hAnsi="方正小标宋简体" w:eastAsia="方正小标宋简体" w:cs="方正小标宋简体"/>
          <w:kern w:val="36"/>
          <w:sz w:val="44"/>
          <w:szCs w:val="44"/>
        </w:rPr>
      </w:pPr>
      <w:r>
        <w:rPr>
          <w:rFonts w:hint="eastAsia" w:ascii="方正小标宋简体" w:hAnsi="方正小标宋简体" w:eastAsia="方正小标宋简体" w:cs="方正小标宋简体"/>
          <w:kern w:val="36"/>
          <w:sz w:val="44"/>
          <w:szCs w:val="44"/>
        </w:rPr>
        <w:t>北京市退役军人事务局</w:t>
      </w:r>
    </w:p>
    <w:p>
      <w:pPr>
        <w:spacing w:line="560" w:lineRule="exact"/>
        <w:ind w:right="477" w:rightChars="151" w:firstLine="284" w:firstLineChars="65"/>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36"/>
          <w:sz w:val="44"/>
          <w:szCs w:val="44"/>
        </w:rPr>
        <w:t>202</w:t>
      </w:r>
      <w:r>
        <w:rPr>
          <w:rFonts w:hint="eastAsia" w:ascii="方正小标宋简体" w:hAnsi="方正小标宋简体" w:eastAsia="方正小标宋简体" w:cs="方正小标宋简体"/>
          <w:kern w:val="36"/>
          <w:sz w:val="44"/>
          <w:szCs w:val="44"/>
          <w:lang w:val="en-US" w:eastAsia="zh-CN"/>
        </w:rPr>
        <w:t>3</w:t>
      </w:r>
      <w:r>
        <w:rPr>
          <w:rFonts w:hint="eastAsia" w:ascii="方正小标宋简体" w:hAnsi="方正小标宋简体" w:eastAsia="方正小标宋简体" w:cs="方正小标宋简体"/>
          <w:kern w:val="36"/>
          <w:sz w:val="44"/>
          <w:szCs w:val="44"/>
        </w:rPr>
        <w:t>年政府信息公开工作年度报告</w:t>
      </w:r>
    </w:p>
    <w:p>
      <w:pPr>
        <w:spacing w:line="560" w:lineRule="exact"/>
        <w:ind w:firstLine="872" w:firstLineChars="200"/>
        <w:rPr>
          <w:rFonts w:hint="eastAsia" w:ascii="方正小标宋简体" w:hAnsi="方正小标宋简体" w:eastAsia="方正小标宋简体" w:cs="方正小标宋简体"/>
          <w:sz w:val="44"/>
          <w:szCs w:val="44"/>
        </w:rPr>
      </w:pPr>
    </w:p>
    <w:p>
      <w:pPr>
        <w:spacing w:line="560" w:lineRule="exact"/>
        <w:ind w:firstLine="632" w:firstLineChars="200"/>
        <w:rPr>
          <w:rFonts w:hint="eastAsia" w:ascii="仿宋_GB2312" w:hAnsi="仿宋_GB2312" w:eastAsia="仿宋_GB2312" w:cs="仿宋_GB2312"/>
          <w:color w:val="000000"/>
          <w:shd w:val="clear" w:color="auto" w:fill="FFFFFF"/>
        </w:rPr>
      </w:pPr>
      <w:r>
        <w:rPr>
          <w:rFonts w:hint="eastAsia" w:ascii="仿宋_GB2312" w:hAnsi="仿宋_GB2312" w:eastAsia="仿宋_GB2312" w:cs="仿宋_GB2312"/>
          <w:color w:val="000000"/>
          <w:shd w:val="clear" w:color="auto" w:fill="FFFFFF"/>
        </w:rPr>
        <w:t>依据《中华人民共和国政府信息公开条例》（以下简称《政府信息公开条例》）第五十条规定，编制本报告。</w:t>
      </w:r>
    </w:p>
    <w:p>
      <w:pPr>
        <w:pStyle w:val="10"/>
        <w:widowControl/>
        <w:spacing w:before="0" w:beforeAutospacing="0" w:after="0" w:afterAutospacing="0" w:line="560" w:lineRule="exact"/>
        <w:ind w:firstLine="632" w:firstLineChars="200"/>
        <w:rPr>
          <w:rFonts w:hint="eastAsia" w:ascii="方正黑体_GBK" w:hAnsi="方正黑体_GBK" w:eastAsia="方正黑体_GBK" w:cs="方正黑体_GBK"/>
          <w:color w:val="000000"/>
          <w:sz w:val="32"/>
        </w:rPr>
      </w:pPr>
      <w:r>
        <w:rPr>
          <w:rFonts w:hint="eastAsia" w:ascii="方正黑体_GBK" w:hAnsi="方正黑体_GBK" w:eastAsia="方正黑体_GBK" w:cs="方正黑体_GBK"/>
          <w:color w:val="000000"/>
          <w:sz w:val="32"/>
        </w:rPr>
        <w:t>一、总体情况</w:t>
      </w:r>
    </w:p>
    <w:p>
      <w:pPr>
        <w:widowControl/>
        <w:spacing w:line="560" w:lineRule="exact"/>
        <w:ind w:firstLine="632" w:firstLineChars="200"/>
        <w:rPr>
          <w:rFonts w:hint="eastAsia" w:ascii="仿宋_GB2312" w:hAnsi="仿宋_GB2312" w:eastAsia="仿宋_GB2312" w:cs="仿宋_GB2312"/>
          <w:color w:val="000000"/>
          <w:shd w:val="clear" w:color="auto" w:fill="FFFFFF"/>
        </w:rPr>
      </w:pPr>
      <w:r>
        <w:rPr>
          <w:rFonts w:hint="eastAsia" w:ascii="仿宋_GB2312" w:hAnsi="仿宋_GB2312" w:eastAsia="仿宋_GB2312" w:cs="仿宋_GB2312"/>
          <w:color w:val="000000"/>
          <w:kern w:val="0"/>
          <w:shd w:val="clear" w:color="auto" w:fill="FFFFFF"/>
          <w:lang w:bidi="ar"/>
        </w:rPr>
        <w:t>202</w:t>
      </w:r>
      <w:r>
        <w:rPr>
          <w:rFonts w:hint="eastAsia" w:ascii="仿宋_GB2312" w:hAnsi="仿宋_GB2312" w:eastAsia="仿宋_GB2312" w:cs="仿宋_GB2312"/>
          <w:color w:val="000000"/>
          <w:kern w:val="0"/>
          <w:shd w:val="clear" w:color="auto" w:fill="FFFFFF"/>
          <w:lang w:val="en-US" w:eastAsia="zh-CN" w:bidi="ar"/>
        </w:rPr>
        <w:t>3</w:t>
      </w:r>
      <w:r>
        <w:rPr>
          <w:rFonts w:hint="eastAsia" w:ascii="仿宋_GB2312" w:hAnsi="仿宋_GB2312" w:eastAsia="仿宋_GB2312" w:cs="仿宋_GB2312"/>
          <w:color w:val="000000"/>
          <w:kern w:val="0"/>
          <w:shd w:val="clear" w:color="auto" w:fill="FFFFFF"/>
          <w:lang w:bidi="ar"/>
        </w:rPr>
        <w:t>年，北京市退役军人事务局坚持以习近平新时代中国特色社会主义思想为指导，</w:t>
      </w:r>
      <w:r>
        <w:rPr>
          <w:rFonts w:hint="eastAsia" w:ascii="仿宋_GB2312" w:hAnsi="仿宋_GB2312" w:eastAsia="仿宋_GB2312" w:cs="仿宋_GB2312"/>
          <w:color w:val="000000"/>
          <w:kern w:val="0"/>
          <w:shd w:val="clear" w:color="auto" w:fill="FFFFFF"/>
          <w:lang w:eastAsia="zh-CN" w:bidi="ar"/>
        </w:rPr>
        <w:t>按照</w:t>
      </w:r>
      <w:r>
        <w:rPr>
          <w:rFonts w:hint="eastAsia" w:ascii="仿宋_GB2312" w:hAnsi="仿宋_GB2312" w:eastAsia="仿宋_GB2312" w:cs="仿宋_GB2312"/>
          <w:color w:val="000000"/>
          <w:kern w:val="0"/>
          <w:shd w:val="clear" w:color="auto" w:fill="FFFFFF"/>
          <w:lang w:bidi="ar"/>
        </w:rPr>
        <w:t>《政府信息公开条例》</w:t>
      </w:r>
      <w:r>
        <w:rPr>
          <w:rFonts w:hint="eastAsia" w:ascii="仿宋_GB2312" w:hAnsi="仿宋_GB2312" w:eastAsia="仿宋_GB2312" w:cs="仿宋_GB2312"/>
          <w:color w:val="000000"/>
          <w:kern w:val="0"/>
          <w:shd w:val="clear" w:color="auto" w:fill="FFFFFF"/>
          <w:lang w:eastAsia="zh-CN" w:bidi="ar"/>
        </w:rPr>
        <w:t>有关要求</w:t>
      </w:r>
      <w:r>
        <w:rPr>
          <w:rFonts w:hint="eastAsia" w:ascii="仿宋_GB2312" w:hAnsi="仿宋_GB2312" w:eastAsia="仿宋_GB2312" w:cs="仿宋_GB2312"/>
          <w:color w:val="000000"/>
          <w:kern w:val="0"/>
          <w:shd w:val="clear" w:color="auto" w:fill="FFFFFF"/>
          <w:lang w:bidi="ar"/>
        </w:rPr>
        <w:t>，</w:t>
      </w:r>
      <w:r>
        <w:rPr>
          <w:rFonts w:hint="eastAsia" w:ascii="仿宋_GB2312" w:hAnsi="仿宋_GB2312" w:eastAsia="仿宋_GB2312" w:cs="仿宋_GB2312"/>
          <w:color w:val="000000"/>
          <w:kern w:val="0"/>
          <w:shd w:val="clear" w:color="auto" w:fill="FFFFFF"/>
          <w:lang w:eastAsia="zh-CN" w:bidi="ar"/>
        </w:rPr>
        <w:t>加强组织领导，健全局政府信息公开工作机制，落实领导责任，明确工作职责，</w:t>
      </w:r>
      <w:r>
        <w:rPr>
          <w:rFonts w:hint="eastAsia" w:ascii="仿宋_GB2312" w:hAnsi="仿宋_GB2312" w:eastAsia="仿宋_GB2312" w:cs="仿宋_GB2312"/>
          <w:color w:val="000000"/>
          <w:kern w:val="0"/>
          <w:shd w:val="clear" w:color="auto" w:fill="FFFFFF"/>
          <w:lang w:bidi="ar"/>
        </w:rPr>
        <w:t>主动、及时通过多种途径对外公开</w:t>
      </w:r>
      <w:r>
        <w:rPr>
          <w:rFonts w:hint="eastAsia" w:ascii="仿宋_GB2312" w:hAnsi="仿宋_GB2312" w:eastAsia="仿宋_GB2312" w:cs="仿宋_GB2312"/>
          <w:color w:val="000000"/>
          <w:kern w:val="0"/>
          <w:shd w:val="clear" w:color="auto" w:fill="FFFFFF"/>
          <w:lang w:eastAsia="zh-CN" w:bidi="ar"/>
        </w:rPr>
        <w:t>政府信息</w:t>
      </w:r>
      <w:r>
        <w:rPr>
          <w:rFonts w:hint="eastAsia" w:ascii="仿宋_GB2312" w:hAnsi="仿宋_GB2312" w:eastAsia="仿宋_GB2312" w:cs="仿宋_GB2312"/>
          <w:color w:val="000000"/>
          <w:kern w:val="0"/>
          <w:shd w:val="clear" w:color="auto" w:fill="FFFFFF"/>
          <w:lang w:bidi="ar"/>
        </w:rPr>
        <w:t>，稳步推进政府信息公开工作</w:t>
      </w:r>
      <w:r>
        <w:rPr>
          <w:rFonts w:hint="eastAsia" w:ascii="仿宋_GB2312" w:hAnsi="仿宋_GB2312" w:eastAsia="仿宋_GB2312" w:cs="仿宋_GB2312"/>
          <w:color w:val="000000"/>
          <w:shd w:val="clear" w:color="auto" w:fill="FFFFFF"/>
        </w:rPr>
        <w:t>。</w:t>
      </w:r>
    </w:p>
    <w:p>
      <w:pPr>
        <w:widowControl/>
        <w:spacing w:line="560" w:lineRule="exact"/>
        <w:ind w:firstLine="632" w:firstLineChars="200"/>
        <w:rPr>
          <w:rFonts w:hint="eastAsia" w:ascii="仿宋_GB2312" w:hAnsi="仿宋_GB2312" w:eastAsia="仿宋_GB2312" w:cs="仿宋_GB2312"/>
          <w:color w:val="2E2D2D"/>
          <w:lang w:eastAsia="zh-CN"/>
        </w:rPr>
      </w:pPr>
      <w:r>
        <w:rPr>
          <w:rFonts w:hint="eastAsia" w:ascii="仿宋_GB2312" w:hAnsi="仿宋_GB2312" w:eastAsia="仿宋_GB2312" w:cs="仿宋_GB2312"/>
          <w:color w:val="000000"/>
          <w:kern w:val="0"/>
          <w:shd w:val="clear" w:color="auto" w:fill="FFFFFF"/>
          <w:lang w:bidi="ar"/>
        </w:rPr>
        <w:t>（一）</w:t>
      </w:r>
      <w:r>
        <w:rPr>
          <w:rFonts w:hint="eastAsia" w:ascii="仿宋_GB2312" w:hAnsi="仿宋_GB2312" w:eastAsia="仿宋_GB2312" w:cs="仿宋_GB2312"/>
          <w:color w:val="000000"/>
          <w:kern w:val="0"/>
          <w:shd w:val="clear" w:color="auto" w:fill="FFFFFF"/>
          <w:lang w:eastAsia="zh-CN" w:bidi="ar"/>
        </w:rPr>
        <w:t>积极推进</w:t>
      </w:r>
      <w:r>
        <w:rPr>
          <w:rFonts w:hint="eastAsia" w:ascii="仿宋_GB2312" w:hAnsi="仿宋_GB2312" w:eastAsia="仿宋_GB2312" w:cs="仿宋_GB2312"/>
          <w:color w:val="000000"/>
          <w:kern w:val="0"/>
          <w:shd w:val="clear" w:color="auto" w:fill="FFFFFF"/>
          <w:lang w:bidi="ar"/>
        </w:rPr>
        <w:t>主动公开。坚持公开为常态，不公开为例外，不断加大公开力度，除依法应当保密外，及时向社会公开。</w:t>
      </w:r>
      <w:r>
        <w:rPr>
          <w:rFonts w:hint="eastAsia" w:ascii="仿宋_GB2312" w:hAnsi="仿宋_GB2312" w:eastAsia="仿宋_GB2312" w:cs="仿宋_GB2312"/>
          <w:color w:val="000000"/>
          <w:kern w:val="0"/>
          <w:shd w:val="clear" w:color="auto" w:fill="FFFFFF"/>
          <w:lang w:eastAsia="zh-CN" w:bidi="ar"/>
        </w:rPr>
        <w:t>严格按要求</w:t>
      </w:r>
      <w:r>
        <w:rPr>
          <w:rFonts w:hint="eastAsia" w:ascii="仿宋_GB2312" w:hAnsi="仿宋_GB2312" w:eastAsia="仿宋_GB2312" w:cs="仿宋_GB2312"/>
          <w:color w:val="000000"/>
          <w:kern w:val="0"/>
          <w:shd w:val="clear" w:color="auto" w:fill="FFFFFF"/>
          <w:lang w:bidi="ar"/>
        </w:rPr>
        <w:t>及时</w:t>
      </w:r>
      <w:r>
        <w:rPr>
          <w:rFonts w:hint="eastAsia" w:ascii="仿宋_GB2312" w:hAnsi="仿宋_GB2312" w:eastAsia="仿宋_GB2312" w:cs="仿宋_GB2312"/>
          <w:color w:val="000000"/>
          <w:kern w:val="0"/>
          <w:shd w:val="clear" w:color="auto" w:fill="FFFFFF"/>
          <w:lang w:eastAsia="zh-CN" w:bidi="ar"/>
        </w:rPr>
        <w:t>发布</w:t>
      </w:r>
      <w:r>
        <w:rPr>
          <w:rFonts w:hint="eastAsia" w:ascii="仿宋_GB2312" w:hAnsi="仿宋_GB2312" w:eastAsia="仿宋_GB2312" w:cs="仿宋_GB2312"/>
          <w:color w:val="000000"/>
          <w:kern w:val="0"/>
          <w:shd w:val="clear" w:color="auto" w:fill="FFFFFF"/>
          <w:lang w:bidi="ar"/>
        </w:rPr>
        <w:t>政策文件、政策解读等内容</w:t>
      </w:r>
      <w:r>
        <w:rPr>
          <w:rFonts w:hint="eastAsia" w:ascii="仿宋_GB2312" w:hAnsi="仿宋_GB2312" w:eastAsia="仿宋_GB2312" w:cs="仿宋_GB2312"/>
          <w:color w:val="000000"/>
          <w:kern w:val="0"/>
          <w:shd w:val="clear" w:color="auto" w:fill="FFFFFF"/>
          <w:lang w:eastAsia="zh-CN" w:bidi="ar"/>
        </w:rPr>
        <w:t>。落实</w:t>
      </w:r>
      <w:r>
        <w:rPr>
          <w:rFonts w:hint="eastAsia" w:ascii="仿宋_GB2312" w:hAnsi="仿宋_GB2312" w:eastAsia="仿宋_GB2312" w:cs="仿宋_GB2312"/>
          <w:color w:val="000000"/>
          <w:kern w:val="0"/>
          <w:shd w:val="clear" w:color="auto" w:fill="FFFFFF"/>
          <w:lang w:bidi="ar"/>
        </w:rPr>
        <w:t>财政信息公开，及时公布预算、决算信息，以及政府集中采购情况。落实人事信息公开，按要求向社会公布北京市退役军人事务局公开遴选以及所属事业单位公开招聘等相关人事信息。公开办事服务并提供办事指南，为服务事项办理提供便利条件</w:t>
      </w:r>
      <w:r>
        <w:rPr>
          <w:rFonts w:hint="eastAsia" w:ascii="仿宋_GB2312" w:hAnsi="仿宋_GB2312" w:eastAsia="仿宋_GB2312" w:cs="仿宋_GB2312"/>
          <w:color w:val="000000"/>
          <w:kern w:val="0"/>
          <w:shd w:val="clear" w:color="auto" w:fill="FFFFFF"/>
          <w:lang w:eastAsia="zh-CN" w:bidi="ar"/>
        </w:rPr>
        <w:t>。</w:t>
      </w:r>
    </w:p>
    <w:p>
      <w:pPr>
        <w:widowControl/>
        <w:spacing w:line="560" w:lineRule="exact"/>
        <w:ind w:firstLine="632" w:firstLineChars="200"/>
        <w:rPr>
          <w:rFonts w:hint="eastAsia" w:ascii="仿宋_GB2312" w:hAnsi="仿宋_GB2312" w:eastAsia="仿宋_GB2312" w:cs="仿宋_GB2312"/>
          <w:color w:val="000000"/>
          <w:kern w:val="0"/>
          <w:shd w:val="clear" w:color="auto" w:fill="FFFFFF"/>
          <w:lang w:bidi="ar"/>
        </w:rPr>
      </w:pPr>
      <w:r>
        <w:rPr>
          <w:rFonts w:hint="eastAsia" w:ascii="仿宋_GB2312" w:hAnsi="仿宋_GB2312" w:eastAsia="仿宋_GB2312" w:cs="仿宋_GB2312"/>
          <w:color w:val="000000"/>
          <w:kern w:val="0"/>
          <w:shd w:val="clear" w:color="auto" w:fill="FFFFFF"/>
          <w:lang w:bidi="ar"/>
        </w:rPr>
        <w:t>（二）提升依申请公开工作质量。</w:t>
      </w:r>
      <w:r>
        <w:rPr>
          <w:rFonts w:hint="eastAsia" w:ascii="仿宋_GB2312" w:hAnsi="仿宋_GB2312" w:eastAsia="仿宋_GB2312" w:cs="仿宋_GB2312"/>
          <w:color w:val="000000"/>
          <w:shd w:val="clear" w:color="auto" w:fill="FFFFFF"/>
        </w:rPr>
        <w:t>严格</w:t>
      </w:r>
      <w:r>
        <w:rPr>
          <w:rFonts w:hint="eastAsia" w:ascii="仿宋_GB2312" w:hAnsi="仿宋_GB2312" w:eastAsia="仿宋_GB2312" w:cs="仿宋_GB2312"/>
          <w:color w:val="000000"/>
          <w:shd w:val="clear" w:color="auto" w:fill="FFFFFF"/>
          <w:lang w:eastAsia="zh-CN"/>
        </w:rPr>
        <w:t>按照</w:t>
      </w:r>
      <w:r>
        <w:rPr>
          <w:rFonts w:hint="eastAsia" w:ascii="仿宋_GB2312" w:hAnsi="仿宋_GB2312" w:eastAsia="仿宋_GB2312" w:cs="仿宋_GB2312"/>
          <w:color w:val="000000"/>
          <w:shd w:val="clear" w:color="auto" w:fill="FFFFFF"/>
        </w:rPr>
        <w:t>政府信息依申请公开工作要求，</w:t>
      </w:r>
      <w:r>
        <w:rPr>
          <w:rFonts w:hint="eastAsia" w:ascii="仿宋_GB2312" w:hAnsi="仿宋_GB2312" w:eastAsia="仿宋_GB2312" w:cs="仿宋_GB2312"/>
          <w:color w:val="000000"/>
          <w:shd w:val="clear" w:color="auto" w:fill="FFFFFF"/>
          <w:lang w:eastAsia="zh-CN"/>
        </w:rPr>
        <w:t>设立</w:t>
      </w:r>
      <w:r>
        <w:rPr>
          <w:rFonts w:hint="eastAsia" w:ascii="仿宋_GB2312" w:hAnsi="仿宋_GB2312" w:eastAsia="仿宋_GB2312" w:cs="仿宋_GB2312"/>
          <w:color w:val="000000"/>
          <w:shd w:val="clear" w:color="auto" w:fill="FFFFFF"/>
        </w:rPr>
        <w:t>咨询电话</w:t>
      </w:r>
      <w:r>
        <w:rPr>
          <w:rFonts w:hint="eastAsia" w:ascii="仿宋_GB2312" w:hAnsi="仿宋_GB2312" w:eastAsia="仿宋_GB2312" w:cs="仿宋_GB2312"/>
          <w:color w:val="000000"/>
          <w:shd w:val="clear" w:color="auto" w:fill="FFFFFF"/>
          <w:lang w:eastAsia="zh-CN"/>
        </w:rPr>
        <w:t>，畅通</w:t>
      </w:r>
      <w:r>
        <w:rPr>
          <w:rFonts w:hint="eastAsia" w:ascii="仿宋_GB2312" w:hAnsi="仿宋_GB2312" w:eastAsia="仿宋_GB2312" w:cs="仿宋_GB2312"/>
          <w:color w:val="000000"/>
          <w:shd w:val="clear" w:color="auto" w:fill="FFFFFF"/>
        </w:rPr>
        <w:t>信函</w:t>
      </w:r>
      <w:r>
        <w:rPr>
          <w:rFonts w:hint="eastAsia" w:ascii="仿宋_GB2312" w:hAnsi="仿宋_GB2312" w:eastAsia="仿宋_GB2312" w:cs="仿宋_GB2312"/>
          <w:color w:val="000000"/>
          <w:shd w:val="clear" w:color="auto" w:fill="FFFFFF"/>
          <w:lang w:eastAsia="zh-CN"/>
        </w:rPr>
        <w:t>和</w:t>
      </w:r>
      <w:r>
        <w:rPr>
          <w:rFonts w:hint="eastAsia" w:ascii="仿宋_GB2312" w:hAnsi="仿宋_GB2312" w:eastAsia="仿宋_GB2312" w:cs="仿宋_GB2312"/>
          <w:color w:val="000000"/>
          <w:shd w:val="clear" w:color="auto" w:fill="FFFFFF"/>
        </w:rPr>
        <w:t>网络申请等受理渠道</w:t>
      </w:r>
      <w:r>
        <w:rPr>
          <w:rFonts w:hint="eastAsia" w:ascii="仿宋_GB2312" w:hAnsi="仿宋_GB2312" w:eastAsia="仿宋_GB2312" w:cs="仿宋_GB2312"/>
          <w:color w:val="000000"/>
          <w:shd w:val="clear" w:color="auto" w:fill="FFFFFF"/>
          <w:lang w:eastAsia="zh-CN"/>
        </w:rPr>
        <w:t>，</w:t>
      </w:r>
      <w:r>
        <w:rPr>
          <w:rFonts w:hint="eastAsia" w:ascii="仿宋_GB2312" w:hAnsi="仿宋_GB2312" w:eastAsia="仿宋_GB2312" w:cs="仿宋_GB2312"/>
          <w:color w:val="000000"/>
          <w:kern w:val="0"/>
          <w:shd w:val="clear" w:color="auto" w:fill="FFFFFF"/>
          <w:lang w:bidi="ar"/>
        </w:rPr>
        <w:t>全年累计受理依申请公开</w:t>
      </w:r>
      <w:r>
        <w:rPr>
          <w:rFonts w:hint="eastAsia" w:ascii="仿宋_GB2312" w:hAnsi="仿宋_GB2312" w:eastAsia="仿宋_GB2312" w:cs="仿宋_GB2312"/>
          <w:color w:val="000000"/>
          <w:kern w:val="0"/>
          <w:shd w:val="clear" w:color="auto" w:fill="FFFFFF"/>
          <w:lang w:val="en-US" w:eastAsia="zh-CN" w:bidi="ar"/>
        </w:rPr>
        <w:t>19</w:t>
      </w:r>
      <w:r>
        <w:rPr>
          <w:rFonts w:hint="eastAsia" w:ascii="仿宋_GB2312" w:hAnsi="仿宋_GB2312" w:eastAsia="仿宋_GB2312" w:cs="仿宋_GB2312"/>
          <w:color w:val="000000"/>
          <w:kern w:val="0"/>
          <w:shd w:val="clear" w:color="auto" w:fill="FFFFFF"/>
          <w:lang w:bidi="ar"/>
        </w:rPr>
        <w:t>件，全部按时限要求依法规范</w:t>
      </w:r>
      <w:r>
        <w:rPr>
          <w:rFonts w:hint="eastAsia" w:ascii="仿宋_GB2312" w:hAnsi="仿宋_GB2312" w:eastAsia="仿宋_GB2312" w:cs="仿宋_GB2312"/>
          <w:color w:val="000000"/>
          <w:kern w:val="0"/>
          <w:shd w:val="clear" w:color="auto" w:fill="FFFFFF"/>
          <w:lang w:eastAsia="zh-CN" w:bidi="ar"/>
        </w:rPr>
        <w:t>进行</w:t>
      </w:r>
      <w:r>
        <w:rPr>
          <w:rFonts w:hint="eastAsia" w:ascii="仿宋_GB2312" w:hAnsi="仿宋_GB2312" w:eastAsia="仿宋_GB2312" w:cs="仿宋_GB2312"/>
          <w:color w:val="000000"/>
          <w:kern w:val="0"/>
          <w:shd w:val="clear" w:color="auto" w:fill="FFFFFF"/>
          <w:lang w:bidi="ar"/>
        </w:rPr>
        <w:t>答复。</w:t>
      </w:r>
    </w:p>
    <w:p>
      <w:pPr>
        <w:widowControl/>
        <w:spacing w:line="560" w:lineRule="exact"/>
        <w:ind w:firstLine="632" w:firstLineChars="200"/>
        <w:rPr>
          <w:rFonts w:hint="eastAsia" w:ascii="仿宋_GB2312" w:hAnsi="仿宋_GB2312" w:eastAsia="仿宋_GB2312" w:cs="仿宋_GB2312"/>
          <w:color w:val="000000"/>
          <w:kern w:val="0"/>
          <w:shd w:val="clear" w:color="auto" w:fill="FFFFFF"/>
          <w:lang w:bidi="ar"/>
        </w:rPr>
      </w:pPr>
      <w:r>
        <w:rPr>
          <w:rFonts w:hint="eastAsia" w:ascii="仿宋_GB2312" w:hAnsi="仿宋_GB2312" w:eastAsia="仿宋_GB2312" w:cs="仿宋_GB2312"/>
          <w:color w:val="000000"/>
          <w:kern w:val="0"/>
          <w:shd w:val="clear" w:color="auto" w:fill="FFFFFF"/>
          <w:lang w:bidi="ar"/>
        </w:rPr>
        <w:t>（三）</w:t>
      </w:r>
      <w:r>
        <w:rPr>
          <w:rFonts w:hint="eastAsia" w:ascii="仿宋_GB2312" w:hAnsi="仿宋_GB2312" w:eastAsia="仿宋_GB2312" w:cs="仿宋_GB2312"/>
          <w:color w:val="000000"/>
          <w:kern w:val="0"/>
          <w:shd w:val="clear" w:color="auto" w:fill="FFFFFF"/>
          <w:lang w:eastAsia="zh-CN" w:bidi="ar"/>
        </w:rPr>
        <w:t>规范</w:t>
      </w:r>
      <w:r>
        <w:rPr>
          <w:rFonts w:hint="eastAsia" w:ascii="仿宋_GB2312" w:hAnsi="仿宋_GB2312" w:eastAsia="仿宋_GB2312" w:cs="仿宋_GB2312"/>
          <w:color w:val="000000"/>
          <w:kern w:val="0"/>
          <w:shd w:val="clear" w:color="auto" w:fill="FFFFFF"/>
          <w:lang w:bidi="ar"/>
        </w:rPr>
        <w:t>政府信息管理。</w:t>
      </w:r>
      <w:r>
        <w:rPr>
          <w:rFonts w:hint="eastAsia" w:ascii="仿宋_GB2312" w:hAnsi="仿宋_GB2312" w:eastAsia="仿宋_GB2312" w:cs="仿宋_GB2312"/>
          <w:color w:val="000000"/>
          <w:kern w:val="0"/>
          <w:shd w:val="clear" w:color="auto" w:fill="FFFFFF"/>
          <w:lang w:eastAsia="zh-CN" w:bidi="ar"/>
        </w:rPr>
        <w:t>加强与信息公开主管部门的沟通交流，</w:t>
      </w:r>
      <w:r>
        <w:rPr>
          <w:rFonts w:hint="eastAsia" w:ascii="仿宋_GB2312" w:hAnsi="仿宋_GB2312" w:eastAsia="仿宋_GB2312" w:cs="仿宋_GB2312"/>
          <w:color w:val="000000"/>
          <w:kern w:val="0"/>
          <w:shd w:val="clear" w:color="auto" w:fill="FFFFFF"/>
          <w:lang w:bidi="ar"/>
        </w:rPr>
        <w:t>持续</w:t>
      </w:r>
      <w:r>
        <w:rPr>
          <w:rFonts w:hint="eastAsia" w:ascii="仿宋_GB2312" w:hAnsi="仿宋_GB2312" w:eastAsia="仿宋_GB2312" w:cs="仿宋_GB2312"/>
          <w:color w:val="000000"/>
          <w:kern w:val="0"/>
          <w:shd w:val="clear" w:color="auto" w:fill="FFFFFF"/>
          <w:lang w:eastAsia="zh-CN" w:bidi="ar"/>
        </w:rPr>
        <w:t>健全政府</w:t>
      </w:r>
      <w:r>
        <w:rPr>
          <w:rFonts w:hint="eastAsia" w:ascii="仿宋_GB2312" w:hAnsi="仿宋_GB2312" w:eastAsia="仿宋_GB2312" w:cs="仿宋_GB2312"/>
          <w:color w:val="000000"/>
          <w:kern w:val="0"/>
          <w:shd w:val="clear" w:color="auto" w:fill="FFFFFF"/>
          <w:lang w:bidi="ar"/>
        </w:rPr>
        <w:t>信息公开</w:t>
      </w:r>
      <w:r>
        <w:rPr>
          <w:rFonts w:hint="eastAsia" w:ascii="仿宋_GB2312" w:hAnsi="仿宋_GB2312" w:eastAsia="仿宋_GB2312" w:cs="仿宋_GB2312"/>
          <w:color w:val="000000"/>
          <w:kern w:val="0"/>
          <w:shd w:val="clear" w:color="auto" w:fill="FFFFFF"/>
          <w:lang w:eastAsia="zh-CN" w:bidi="ar"/>
        </w:rPr>
        <w:t>审查机制</w:t>
      </w:r>
      <w:r>
        <w:rPr>
          <w:rFonts w:hint="eastAsia" w:ascii="仿宋_GB2312" w:hAnsi="仿宋_GB2312" w:eastAsia="仿宋_GB2312" w:cs="仿宋_GB2312"/>
          <w:color w:val="000000"/>
          <w:kern w:val="0"/>
          <w:shd w:val="clear" w:color="auto" w:fill="FFFFFF"/>
          <w:lang w:bidi="ar"/>
        </w:rPr>
        <w:t>，</w:t>
      </w:r>
      <w:r>
        <w:rPr>
          <w:rFonts w:hint="eastAsia" w:ascii="仿宋_GB2312" w:hAnsi="仿宋_GB2312" w:eastAsia="仿宋_GB2312" w:cs="仿宋_GB2312"/>
          <w:color w:val="000000"/>
          <w:kern w:val="0"/>
          <w:shd w:val="clear" w:color="auto" w:fill="FFFFFF"/>
          <w:lang w:eastAsia="zh-CN" w:bidi="ar"/>
        </w:rPr>
        <w:t>对公开</w:t>
      </w:r>
      <w:r>
        <w:rPr>
          <w:rFonts w:hint="eastAsia" w:ascii="仿宋_GB2312" w:hAnsi="仿宋_GB2312" w:eastAsia="仿宋_GB2312" w:cs="仿宋_GB2312"/>
          <w:color w:val="000000"/>
          <w:kern w:val="0"/>
          <w:shd w:val="clear" w:color="auto" w:fill="FFFFFF"/>
          <w:lang w:bidi="ar"/>
        </w:rPr>
        <w:t>内容</w:t>
      </w:r>
      <w:r>
        <w:rPr>
          <w:rFonts w:hint="eastAsia" w:ascii="仿宋_GB2312" w:hAnsi="仿宋_GB2312" w:eastAsia="仿宋_GB2312" w:cs="仿宋_GB2312"/>
          <w:color w:val="000000"/>
          <w:kern w:val="0"/>
          <w:shd w:val="clear" w:color="auto" w:fill="FFFFFF"/>
          <w:lang w:eastAsia="zh-CN" w:bidi="ar"/>
        </w:rPr>
        <w:t>进行</w:t>
      </w:r>
      <w:r>
        <w:rPr>
          <w:rFonts w:hint="eastAsia" w:ascii="仿宋_GB2312" w:hAnsi="仿宋_GB2312" w:eastAsia="仿宋_GB2312" w:cs="仿宋_GB2312"/>
          <w:color w:val="000000"/>
          <w:kern w:val="0"/>
          <w:shd w:val="clear" w:color="auto" w:fill="FFFFFF"/>
          <w:lang w:bidi="ar"/>
        </w:rPr>
        <w:t>保密审查，确保发布的各项信息符合要求。</w:t>
      </w:r>
    </w:p>
    <w:p>
      <w:pPr>
        <w:widowControl/>
        <w:spacing w:line="560" w:lineRule="exact"/>
        <w:ind w:firstLine="632" w:firstLineChars="200"/>
        <w:rPr>
          <w:rFonts w:hint="eastAsia" w:ascii="仿宋_GB2312" w:hAnsi="仿宋_GB2312" w:eastAsia="仿宋_GB2312" w:cs="仿宋_GB2312"/>
          <w:color w:val="000000"/>
          <w:kern w:val="0"/>
          <w:shd w:val="clear" w:color="auto" w:fill="FFFFFF"/>
          <w:lang w:bidi="ar"/>
        </w:rPr>
      </w:pPr>
      <w:r>
        <w:rPr>
          <w:rFonts w:hint="eastAsia" w:ascii="仿宋_GB2312" w:hAnsi="仿宋_GB2312" w:eastAsia="仿宋_GB2312" w:cs="仿宋_GB2312"/>
          <w:color w:val="000000"/>
          <w:kern w:val="0"/>
          <w:shd w:val="clear" w:color="auto" w:fill="FFFFFF"/>
          <w:lang w:bidi="ar"/>
        </w:rPr>
        <w:t>（四）</w:t>
      </w:r>
      <w:r>
        <w:rPr>
          <w:rFonts w:hint="eastAsia" w:ascii="仿宋_GB2312" w:hAnsi="仿宋_GB2312" w:eastAsia="仿宋_GB2312" w:cs="仿宋_GB2312"/>
          <w:color w:val="000000"/>
          <w:kern w:val="0"/>
          <w:shd w:val="clear" w:color="auto" w:fill="FFFFFF"/>
          <w:lang w:eastAsia="zh-CN" w:bidi="ar"/>
        </w:rPr>
        <w:t>优化</w:t>
      </w:r>
      <w:r>
        <w:rPr>
          <w:rFonts w:hint="eastAsia" w:ascii="仿宋_GB2312" w:hAnsi="仿宋_GB2312" w:eastAsia="仿宋_GB2312" w:cs="仿宋_GB2312"/>
          <w:color w:val="000000"/>
          <w:kern w:val="0"/>
          <w:shd w:val="clear" w:color="auto" w:fill="FFFFFF"/>
          <w:lang w:bidi="ar"/>
        </w:rPr>
        <w:t>政府信息公开平台建设。充分发挥政府网站</w:t>
      </w:r>
      <w:r>
        <w:rPr>
          <w:rFonts w:hint="eastAsia" w:ascii="仿宋_GB2312" w:hAnsi="仿宋_GB2312" w:eastAsia="仿宋_GB2312" w:cs="仿宋_GB2312"/>
          <w:color w:val="000000"/>
          <w:kern w:val="0"/>
          <w:shd w:val="clear" w:color="auto" w:fill="FFFFFF"/>
          <w:lang w:eastAsia="zh-CN" w:bidi="ar"/>
        </w:rPr>
        <w:t>和</w:t>
      </w:r>
      <w:r>
        <w:rPr>
          <w:rFonts w:hint="eastAsia" w:ascii="仿宋_GB2312" w:hAnsi="仿宋_GB2312" w:eastAsia="仿宋_GB2312" w:cs="仿宋_GB2312"/>
          <w:color w:val="000000"/>
          <w:kern w:val="0"/>
          <w:shd w:val="clear" w:color="auto" w:fill="FFFFFF"/>
          <w:lang w:bidi="ar"/>
        </w:rPr>
        <w:t>新媒体作用，</w:t>
      </w:r>
      <w:r>
        <w:rPr>
          <w:rFonts w:hint="eastAsia" w:ascii="仿宋_GB2312" w:hAnsi="仿宋_GB2312" w:eastAsia="仿宋_GB2312" w:cs="仿宋_GB2312"/>
          <w:color w:val="000000"/>
          <w:shd w:val="clear" w:color="auto" w:fill="FFFFFF"/>
          <w:lang w:eastAsia="zh-CN"/>
        </w:rPr>
        <w:t>持续发布各类政府</w:t>
      </w:r>
      <w:r>
        <w:rPr>
          <w:rFonts w:hint="eastAsia" w:ascii="仿宋_GB2312" w:hAnsi="仿宋_GB2312" w:eastAsia="仿宋_GB2312" w:cs="仿宋_GB2312"/>
          <w:color w:val="000000"/>
          <w:shd w:val="clear" w:color="auto" w:fill="FFFFFF"/>
        </w:rPr>
        <w:t>信息，</w:t>
      </w:r>
      <w:r>
        <w:rPr>
          <w:rFonts w:hint="eastAsia" w:ascii="仿宋_GB2312" w:hAnsi="仿宋_GB2312" w:eastAsia="仿宋_GB2312" w:cs="仿宋_GB2312"/>
          <w:color w:val="000000"/>
          <w:kern w:val="0"/>
          <w:shd w:val="clear" w:color="auto" w:fill="FFFFFF"/>
          <w:lang w:bidi="ar"/>
        </w:rPr>
        <w:t>全年发布信息</w:t>
      </w:r>
      <w:r>
        <w:rPr>
          <w:rFonts w:hint="eastAsia" w:ascii="仿宋_GB2312" w:hAnsi="仿宋_GB2312" w:eastAsia="仿宋_GB2312" w:cs="仿宋_GB2312"/>
          <w:color w:val="000000"/>
          <w:kern w:val="0"/>
          <w:shd w:val="clear" w:color="auto" w:fill="FFFFFF"/>
          <w:lang w:val="en-US" w:eastAsia="zh-CN" w:bidi="ar"/>
        </w:rPr>
        <w:t>10</w:t>
      </w:r>
      <w:r>
        <w:rPr>
          <w:rFonts w:hint="eastAsia" w:ascii="仿宋_GB2312" w:hAnsi="仿宋_GB2312" w:eastAsia="仿宋_GB2312" w:cs="仿宋_GB2312"/>
          <w:color w:val="000000"/>
          <w:kern w:val="0"/>
          <w:shd w:val="clear" w:color="auto" w:fill="FFFFFF"/>
          <w:lang w:bidi="ar"/>
        </w:rPr>
        <w:t>00余篇，</w:t>
      </w:r>
      <w:r>
        <w:rPr>
          <w:rFonts w:hint="eastAsia" w:ascii="仿宋_GB2312" w:hAnsi="仿宋_GB2312" w:eastAsia="仿宋_GB2312" w:cs="仿宋_GB2312"/>
          <w:color w:val="000000"/>
          <w:kern w:val="0"/>
          <w:shd w:val="clear" w:color="auto" w:fill="FFFFFF"/>
          <w:lang w:eastAsia="zh-CN" w:bidi="ar"/>
        </w:rPr>
        <w:t>不断</w:t>
      </w:r>
      <w:r>
        <w:rPr>
          <w:rFonts w:hint="eastAsia" w:ascii="仿宋_GB2312" w:hAnsi="仿宋_GB2312" w:eastAsia="仿宋_GB2312" w:cs="仿宋_GB2312"/>
          <w:color w:val="000000"/>
          <w:kern w:val="0"/>
          <w:shd w:val="clear" w:color="auto" w:fill="FFFFFF"/>
          <w:lang w:bidi="ar"/>
        </w:rPr>
        <w:t>扩大政务公开的覆盖面和影响力</w:t>
      </w:r>
      <w:r>
        <w:rPr>
          <w:rFonts w:hint="eastAsia" w:ascii="仿宋_GB2312" w:hAnsi="仿宋_GB2312" w:eastAsia="仿宋_GB2312" w:cs="仿宋_GB2312"/>
          <w:color w:val="000000"/>
          <w:shd w:val="clear" w:color="auto" w:fill="FFFFFF"/>
        </w:rPr>
        <w:t>。</w:t>
      </w:r>
      <w:r>
        <w:rPr>
          <w:rFonts w:hint="eastAsia" w:ascii="仿宋_GB2312" w:hAnsi="仿宋_GB2312" w:eastAsia="仿宋_GB2312" w:cs="仿宋_GB2312"/>
          <w:color w:val="000000"/>
          <w:kern w:val="0"/>
          <w:shd w:val="clear" w:color="auto" w:fill="FFFFFF"/>
          <w:lang w:bidi="ar"/>
        </w:rPr>
        <w:t>丰富网站公开内容和栏目设置，</w:t>
      </w:r>
      <w:r>
        <w:rPr>
          <w:rFonts w:hint="eastAsia" w:ascii="仿宋_GB2312" w:hAnsi="仿宋_GB2312" w:eastAsia="仿宋_GB2312" w:cs="仿宋_GB2312"/>
          <w:color w:val="000000"/>
          <w:kern w:val="0"/>
          <w:shd w:val="clear" w:color="auto" w:fill="FFFFFF"/>
          <w:lang w:eastAsia="zh-CN" w:bidi="ar"/>
        </w:rPr>
        <w:t>通过思想政治和权益维护、移交安置、就业创业、军休服务管理、拥军优抚、褒扬纪念等业务</w:t>
      </w:r>
      <w:r>
        <w:rPr>
          <w:rFonts w:hint="eastAsia" w:ascii="仿宋_GB2312" w:hAnsi="仿宋_GB2312" w:eastAsia="仿宋_GB2312" w:cs="仿宋_GB2312"/>
          <w:color w:val="000000"/>
          <w:kern w:val="0"/>
          <w:shd w:val="clear" w:color="auto" w:fill="FFFFFF"/>
          <w:lang w:val="en-US" w:eastAsia="zh-CN" w:bidi="ar"/>
        </w:rPr>
        <w:t>专栏集中展示相关信息</w:t>
      </w:r>
      <w:r>
        <w:rPr>
          <w:rFonts w:hint="eastAsia" w:ascii="仿宋_GB2312" w:hAnsi="仿宋_GB2312" w:eastAsia="仿宋_GB2312" w:cs="仿宋_GB2312"/>
          <w:color w:val="000000"/>
          <w:kern w:val="0"/>
          <w:shd w:val="clear" w:color="auto" w:fill="FFFFFF"/>
          <w:lang w:bidi="ar"/>
        </w:rPr>
        <w:t>。</w:t>
      </w:r>
      <w:r>
        <w:rPr>
          <w:rFonts w:hint="eastAsia" w:ascii="仿宋_GB2312" w:hAnsi="仿宋_GB2312" w:eastAsia="仿宋_GB2312" w:cs="仿宋_GB2312"/>
          <w:color w:val="000000"/>
          <w:shd w:val="clear" w:color="auto" w:fill="FFFFFF"/>
        </w:rPr>
        <w:t>打造数字服务平台，</w:t>
      </w:r>
      <w:r>
        <w:rPr>
          <w:rFonts w:hint="eastAsia" w:ascii="仿宋_GB2312" w:hAnsi="仿宋_GB2312" w:eastAsia="仿宋_GB2312" w:cs="仿宋_GB2312"/>
          <w:color w:val="000000"/>
          <w:shd w:val="clear" w:color="auto" w:fill="FFFFFF"/>
          <w:lang w:eastAsia="zh-CN"/>
        </w:rPr>
        <w:t>实施</w:t>
      </w:r>
      <w:r>
        <w:rPr>
          <w:rFonts w:hint="eastAsia" w:ascii="仿宋_GB2312" w:hAnsi="仿宋_GB2312" w:eastAsia="仿宋_GB2312" w:cs="仿宋_GB2312"/>
          <w:color w:val="000000"/>
          <w:shd w:val="clear" w:color="auto" w:fill="FFFFFF"/>
        </w:rPr>
        <w:t>军人退役“一件事”集成服务。</w:t>
      </w:r>
    </w:p>
    <w:p>
      <w:pPr>
        <w:pStyle w:val="2"/>
        <w:spacing w:line="560" w:lineRule="exact"/>
        <w:ind w:firstLine="632" w:firstLineChars="200"/>
        <w:rPr>
          <w:rFonts w:hint="eastAsia" w:ascii="仿宋_GB2312" w:hAnsi="仿宋_GB2312" w:eastAsia="仿宋_GB2312" w:cs="仿宋_GB2312"/>
          <w:lang w:bidi="ar"/>
        </w:rPr>
      </w:pPr>
      <w:r>
        <w:rPr>
          <w:rFonts w:hint="eastAsia" w:ascii="仿宋_GB2312" w:hAnsi="仿宋_GB2312" w:eastAsia="仿宋_GB2312" w:cs="仿宋_GB2312"/>
          <w:lang w:bidi="ar"/>
        </w:rPr>
        <w:t>（五）</w:t>
      </w:r>
      <w:r>
        <w:rPr>
          <w:rFonts w:hint="eastAsia" w:ascii="仿宋_GB2312" w:hAnsi="仿宋_GB2312" w:eastAsia="仿宋_GB2312" w:cs="仿宋_GB2312"/>
          <w:lang w:eastAsia="zh-CN" w:bidi="ar"/>
        </w:rPr>
        <w:t>强化</w:t>
      </w:r>
      <w:r>
        <w:rPr>
          <w:rFonts w:hint="eastAsia" w:ascii="仿宋_GB2312" w:hAnsi="仿宋_GB2312" w:eastAsia="仿宋_GB2312" w:cs="仿宋_GB2312"/>
          <w:lang w:bidi="ar"/>
        </w:rPr>
        <w:t>教育培训</w:t>
      </w:r>
      <w:r>
        <w:rPr>
          <w:rFonts w:hint="eastAsia" w:ascii="仿宋_GB2312" w:hAnsi="仿宋_GB2312" w:eastAsia="仿宋_GB2312" w:cs="仿宋_GB2312"/>
          <w:lang w:eastAsia="zh-CN" w:bidi="ar"/>
        </w:rPr>
        <w:t>和</w:t>
      </w:r>
      <w:r>
        <w:rPr>
          <w:rFonts w:hint="eastAsia" w:ascii="仿宋_GB2312" w:hAnsi="仿宋_GB2312" w:eastAsia="仿宋_GB2312" w:cs="仿宋_GB2312"/>
          <w:lang w:bidi="ar"/>
        </w:rPr>
        <w:t>监督保障。规范信息发布、审查、考核等机制，将信息公开纳入局绩效考核范围，明确</w:t>
      </w:r>
      <w:r>
        <w:rPr>
          <w:rFonts w:hint="eastAsia" w:ascii="仿宋_GB2312" w:hAnsi="仿宋_GB2312" w:eastAsia="仿宋_GB2312" w:cs="仿宋_GB2312"/>
          <w:lang w:eastAsia="zh-CN" w:bidi="ar"/>
        </w:rPr>
        <w:t>各项</w:t>
      </w:r>
      <w:r>
        <w:rPr>
          <w:rFonts w:hint="eastAsia" w:ascii="仿宋_GB2312" w:hAnsi="仿宋_GB2312" w:eastAsia="仿宋_GB2312" w:cs="仿宋_GB2312"/>
          <w:lang w:bidi="ar"/>
        </w:rPr>
        <w:t>工作职责</w:t>
      </w:r>
      <w:r>
        <w:rPr>
          <w:rFonts w:hint="eastAsia" w:ascii="仿宋_GB2312" w:hAnsi="仿宋_GB2312" w:eastAsia="仿宋_GB2312" w:cs="仿宋_GB2312"/>
          <w:lang w:eastAsia="zh-CN" w:bidi="ar"/>
        </w:rPr>
        <w:t>，</w:t>
      </w:r>
      <w:r>
        <w:rPr>
          <w:rFonts w:hint="eastAsia" w:ascii="仿宋_GB2312" w:hAnsi="仿宋_GB2312" w:eastAsia="仿宋_GB2312" w:cs="仿宋_GB2312"/>
          <w:lang w:bidi="ar"/>
        </w:rPr>
        <w:t>推动工作落实。指派专人负责公开工作</w:t>
      </w:r>
      <w:r>
        <w:rPr>
          <w:rFonts w:hint="eastAsia" w:ascii="仿宋_GB2312" w:hAnsi="仿宋_GB2312" w:eastAsia="仿宋_GB2312" w:cs="仿宋_GB2312"/>
          <w:lang w:eastAsia="zh-CN" w:bidi="ar"/>
        </w:rPr>
        <w:t>，开展</w:t>
      </w:r>
      <w:r>
        <w:rPr>
          <w:rFonts w:hint="eastAsia" w:ascii="仿宋_GB2312" w:hAnsi="仿宋_GB2312" w:eastAsia="仿宋_GB2312" w:cs="仿宋_GB2312"/>
          <w:lang w:bidi="ar"/>
        </w:rPr>
        <w:t>信息公开培训指导</w:t>
      </w:r>
      <w:r>
        <w:rPr>
          <w:rFonts w:hint="eastAsia" w:ascii="仿宋_GB2312" w:hAnsi="仿宋_GB2312" w:eastAsia="仿宋_GB2312" w:cs="仿宋_GB2312"/>
          <w:lang w:eastAsia="zh-CN" w:bidi="ar"/>
        </w:rPr>
        <w:t>，提升做好政府信息公开工作的主动性和自觉性</w:t>
      </w:r>
      <w:r>
        <w:rPr>
          <w:rFonts w:hint="eastAsia" w:ascii="仿宋_GB2312" w:hAnsi="仿宋_GB2312" w:eastAsia="仿宋_GB2312" w:cs="仿宋_GB2312"/>
          <w:lang w:bidi="ar"/>
        </w:rPr>
        <w:t>。</w:t>
      </w:r>
    </w:p>
    <w:p>
      <w:pPr>
        <w:pStyle w:val="10"/>
        <w:widowControl/>
        <w:spacing w:before="0" w:beforeAutospacing="0" w:after="0" w:afterAutospacing="0" w:line="560" w:lineRule="exact"/>
        <w:ind w:firstLine="632" w:firstLineChars="200"/>
        <w:jc w:val="both"/>
        <w:rPr>
          <w:rFonts w:hint="eastAsia" w:ascii="方正黑体_GBK" w:hAnsi="方正黑体_GBK" w:eastAsia="方正黑体_GBK" w:cs="方正黑体_GBK"/>
          <w:color w:val="000000"/>
          <w:sz w:val="32"/>
        </w:rPr>
      </w:pPr>
      <w:r>
        <w:rPr>
          <w:rFonts w:hint="eastAsia" w:ascii="方正黑体_GBK" w:hAnsi="方正黑体_GBK" w:eastAsia="方正黑体_GBK" w:cs="方正黑体_GBK"/>
          <w:color w:val="000000"/>
          <w:sz w:val="32"/>
        </w:rPr>
        <w:t>二、主动公开政府信息情况</w:t>
      </w:r>
    </w:p>
    <w:tbl>
      <w:tblPr>
        <w:tblStyle w:val="11"/>
        <w:tblW w:w="8595" w:type="dxa"/>
        <w:jc w:val="center"/>
        <w:tblLayout w:type="autofit"/>
        <w:tblCellMar>
          <w:top w:w="0" w:type="dxa"/>
          <w:left w:w="0" w:type="dxa"/>
          <w:bottom w:w="0" w:type="dxa"/>
          <w:right w:w="0" w:type="dxa"/>
        </w:tblCellMar>
      </w:tblPr>
      <w:tblGrid>
        <w:gridCol w:w="2500"/>
        <w:gridCol w:w="1701"/>
        <w:gridCol w:w="2126"/>
        <w:gridCol w:w="2268"/>
      </w:tblGrid>
      <w:tr>
        <w:tblPrEx>
          <w:tblCellMar>
            <w:top w:w="0" w:type="dxa"/>
            <w:left w:w="0" w:type="dxa"/>
            <w:bottom w:w="0" w:type="dxa"/>
            <w:right w:w="0" w:type="dxa"/>
          </w:tblCellMar>
        </w:tblPrEx>
        <w:trPr>
          <w:jc w:val="center"/>
        </w:trPr>
        <w:tc>
          <w:tcPr>
            <w:tcW w:w="8595"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spacing w:line="400" w:lineRule="exact"/>
              <w:jc w:val="center"/>
              <w:rPr>
                <w:rFonts w:hint="eastAsia" w:ascii="微软雅黑 Light" w:hAnsi="微软雅黑 Light" w:eastAsia="微软雅黑 Light" w:cs="宋体"/>
                <w:color w:val="000000"/>
                <w:kern w:val="0"/>
                <w:sz w:val="20"/>
                <w:szCs w:val="20"/>
                <w:lang w:bidi="ar"/>
              </w:rPr>
            </w:pPr>
            <w:r>
              <w:rPr>
                <w:rFonts w:hint="eastAsia" w:ascii="微软雅黑 Light" w:hAnsi="微软雅黑 Light" w:eastAsia="微软雅黑 Light" w:cs="宋体"/>
                <w:color w:val="000000"/>
                <w:kern w:val="0"/>
                <w:sz w:val="20"/>
                <w:szCs w:val="20"/>
                <w:lang w:bidi="ar"/>
              </w:rPr>
              <w:t>第二十条第（一）项</w:t>
            </w:r>
          </w:p>
        </w:tc>
      </w:tr>
      <w:tr>
        <w:tblPrEx>
          <w:tblCellMar>
            <w:top w:w="0" w:type="dxa"/>
            <w:left w:w="0" w:type="dxa"/>
            <w:bottom w:w="0" w:type="dxa"/>
            <w:right w:w="0" w:type="dxa"/>
          </w:tblCellMar>
        </w:tblPrEx>
        <w:trPr>
          <w:jc w:val="center"/>
        </w:trPr>
        <w:tc>
          <w:tcPr>
            <w:tcW w:w="2500"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color w:val="000000"/>
                <w:kern w:val="0"/>
                <w:sz w:val="20"/>
                <w:szCs w:val="20"/>
                <w:lang w:bidi="ar"/>
              </w:rPr>
              <w:t>信息内容</w:t>
            </w:r>
          </w:p>
        </w:tc>
        <w:tc>
          <w:tcPr>
            <w:tcW w:w="1701"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spacing w:line="400" w:lineRule="exact"/>
              <w:jc w:val="center"/>
              <w:rPr>
                <w:rFonts w:hint="eastAsia" w:ascii="微软雅黑 Light" w:hAnsi="微软雅黑 Light" w:eastAsia="微软雅黑 Light" w:cs="宋体"/>
                <w:color w:val="000000"/>
                <w:kern w:val="0"/>
                <w:sz w:val="20"/>
                <w:szCs w:val="20"/>
                <w:lang w:bidi="ar"/>
              </w:rPr>
            </w:pPr>
            <w:r>
              <w:rPr>
                <w:rFonts w:hint="eastAsia" w:ascii="微软雅黑 Light" w:hAnsi="微软雅黑 Light" w:eastAsia="微软雅黑 Light" w:cs="宋体"/>
                <w:color w:val="000000"/>
                <w:kern w:val="0"/>
                <w:sz w:val="20"/>
                <w:szCs w:val="20"/>
                <w:lang w:bidi="ar"/>
              </w:rPr>
              <w:t>本年制发件数</w:t>
            </w:r>
          </w:p>
        </w:tc>
        <w:tc>
          <w:tcPr>
            <w:tcW w:w="2126"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color w:val="000000"/>
                <w:kern w:val="0"/>
                <w:sz w:val="20"/>
                <w:szCs w:val="20"/>
                <w:lang w:bidi="ar"/>
              </w:rPr>
              <w:t>本年废止件数</w:t>
            </w:r>
          </w:p>
        </w:tc>
        <w:tc>
          <w:tcPr>
            <w:tcW w:w="2268"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color w:val="000000"/>
                <w:kern w:val="0"/>
                <w:sz w:val="20"/>
                <w:szCs w:val="20"/>
                <w:lang w:bidi="ar"/>
              </w:rPr>
              <w:t>现行有效件</w:t>
            </w:r>
            <w:r>
              <w:rPr>
                <w:rFonts w:hint="eastAsia" w:ascii="微软雅黑 Light" w:hAnsi="微软雅黑 Light" w:eastAsia="微软雅黑 Light" w:cs="宋体"/>
                <w:kern w:val="0"/>
                <w:sz w:val="20"/>
                <w:szCs w:val="20"/>
                <w:lang w:bidi="ar"/>
              </w:rPr>
              <w:t>数</w:t>
            </w:r>
          </w:p>
        </w:tc>
      </w:tr>
      <w:tr>
        <w:tblPrEx>
          <w:tblCellMar>
            <w:top w:w="0" w:type="dxa"/>
            <w:left w:w="0" w:type="dxa"/>
            <w:bottom w:w="0" w:type="dxa"/>
            <w:right w:w="0" w:type="dxa"/>
          </w:tblCellMar>
        </w:tblPrEx>
        <w:trPr>
          <w:jc w:val="center"/>
        </w:trPr>
        <w:tc>
          <w:tcPr>
            <w:tcW w:w="2500"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color w:val="000000"/>
                <w:kern w:val="0"/>
                <w:sz w:val="20"/>
                <w:szCs w:val="20"/>
                <w:lang w:bidi="ar"/>
              </w:rPr>
              <w:t>规章</w:t>
            </w:r>
          </w:p>
        </w:tc>
        <w:tc>
          <w:tcPr>
            <w:tcW w:w="170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2126"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226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r>
      <w:tr>
        <w:tblPrEx>
          <w:tblCellMar>
            <w:top w:w="0" w:type="dxa"/>
            <w:left w:w="0" w:type="dxa"/>
            <w:bottom w:w="0" w:type="dxa"/>
            <w:right w:w="0" w:type="dxa"/>
          </w:tblCellMar>
        </w:tblPrEx>
        <w:trPr>
          <w:jc w:val="center"/>
        </w:trPr>
        <w:tc>
          <w:tcPr>
            <w:tcW w:w="2500"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color w:val="000000"/>
                <w:kern w:val="0"/>
                <w:sz w:val="20"/>
                <w:szCs w:val="20"/>
                <w:lang w:bidi="ar"/>
              </w:rPr>
              <w:t>行政规范性文件</w:t>
            </w:r>
          </w:p>
        </w:tc>
        <w:tc>
          <w:tcPr>
            <w:tcW w:w="170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3</w:t>
            </w:r>
          </w:p>
        </w:tc>
        <w:tc>
          <w:tcPr>
            <w:tcW w:w="2126"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226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66</w:t>
            </w:r>
          </w:p>
        </w:tc>
      </w:tr>
      <w:tr>
        <w:tblPrEx>
          <w:tblCellMar>
            <w:top w:w="0" w:type="dxa"/>
            <w:left w:w="0" w:type="dxa"/>
            <w:bottom w:w="0" w:type="dxa"/>
            <w:right w:w="0" w:type="dxa"/>
          </w:tblCellMar>
        </w:tblPrEx>
        <w:trPr>
          <w:jc w:val="center"/>
        </w:trPr>
        <w:tc>
          <w:tcPr>
            <w:tcW w:w="8595"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color w:val="000000"/>
                <w:kern w:val="0"/>
                <w:sz w:val="20"/>
                <w:szCs w:val="20"/>
                <w:lang w:bidi="ar"/>
              </w:rPr>
              <w:t>第二十条第（五）项</w:t>
            </w:r>
          </w:p>
        </w:tc>
      </w:tr>
      <w:tr>
        <w:tblPrEx>
          <w:tblCellMar>
            <w:top w:w="0" w:type="dxa"/>
            <w:left w:w="0" w:type="dxa"/>
            <w:bottom w:w="0" w:type="dxa"/>
            <w:right w:w="0" w:type="dxa"/>
          </w:tblCellMar>
        </w:tblPrEx>
        <w:trPr>
          <w:jc w:val="center"/>
        </w:trPr>
        <w:tc>
          <w:tcPr>
            <w:tcW w:w="2500"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color w:val="000000"/>
                <w:kern w:val="0"/>
                <w:sz w:val="20"/>
                <w:szCs w:val="20"/>
                <w:lang w:bidi="ar"/>
              </w:rPr>
              <w:t>信息内容</w:t>
            </w:r>
          </w:p>
        </w:tc>
        <w:tc>
          <w:tcPr>
            <w:tcW w:w="609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color w:val="000000"/>
                <w:kern w:val="0"/>
                <w:sz w:val="20"/>
                <w:szCs w:val="20"/>
                <w:lang w:bidi="ar"/>
              </w:rPr>
              <w:t>本年处理决定数量</w:t>
            </w:r>
          </w:p>
        </w:tc>
      </w:tr>
      <w:tr>
        <w:tblPrEx>
          <w:tblCellMar>
            <w:top w:w="0" w:type="dxa"/>
            <w:left w:w="0" w:type="dxa"/>
            <w:bottom w:w="0" w:type="dxa"/>
            <w:right w:w="0" w:type="dxa"/>
          </w:tblCellMar>
        </w:tblPrEx>
        <w:trPr>
          <w:jc w:val="center"/>
        </w:trPr>
        <w:tc>
          <w:tcPr>
            <w:tcW w:w="2500"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color w:val="000000"/>
                <w:kern w:val="0"/>
                <w:sz w:val="20"/>
                <w:szCs w:val="20"/>
                <w:lang w:bidi="ar"/>
              </w:rPr>
              <w:t>行政许可</w:t>
            </w:r>
          </w:p>
        </w:tc>
        <w:tc>
          <w:tcPr>
            <w:tcW w:w="609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00" w:lineRule="exact"/>
              <w:jc w:val="center"/>
              <w:rPr>
                <w:rFonts w:hint="eastAsia" w:ascii="微软雅黑 Light" w:hAnsi="微软雅黑 Light" w:eastAsia="微软雅黑 Light"/>
              </w:rPr>
            </w:pPr>
            <w:r>
              <w:rPr>
                <w:rFonts w:hint="eastAsia" w:ascii="微软雅黑 Light" w:hAnsi="微软雅黑 Light" w:eastAsia="微软雅黑 Light"/>
                <w:color w:val="000000"/>
                <w:sz w:val="20"/>
                <w:szCs w:val="20"/>
              </w:rPr>
              <w:t>0</w:t>
            </w:r>
          </w:p>
        </w:tc>
      </w:tr>
      <w:tr>
        <w:tblPrEx>
          <w:tblCellMar>
            <w:top w:w="0" w:type="dxa"/>
            <w:left w:w="0" w:type="dxa"/>
            <w:bottom w:w="0" w:type="dxa"/>
            <w:right w:w="0" w:type="dxa"/>
          </w:tblCellMar>
        </w:tblPrEx>
        <w:trPr>
          <w:jc w:val="center"/>
        </w:trPr>
        <w:tc>
          <w:tcPr>
            <w:tcW w:w="8595"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color w:val="000000"/>
                <w:kern w:val="0"/>
                <w:sz w:val="20"/>
                <w:szCs w:val="20"/>
                <w:lang w:bidi="ar"/>
              </w:rPr>
              <w:t>第二十条第（六）项</w:t>
            </w:r>
          </w:p>
        </w:tc>
      </w:tr>
      <w:tr>
        <w:tblPrEx>
          <w:tblCellMar>
            <w:top w:w="0" w:type="dxa"/>
            <w:left w:w="0" w:type="dxa"/>
            <w:bottom w:w="0" w:type="dxa"/>
            <w:right w:w="0" w:type="dxa"/>
          </w:tblCellMar>
        </w:tblPrEx>
        <w:trPr>
          <w:jc w:val="center"/>
        </w:trPr>
        <w:tc>
          <w:tcPr>
            <w:tcW w:w="2500"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color w:val="000000"/>
                <w:kern w:val="0"/>
                <w:sz w:val="20"/>
                <w:szCs w:val="20"/>
                <w:lang w:bidi="ar"/>
              </w:rPr>
              <w:t>信息内容</w:t>
            </w:r>
          </w:p>
        </w:tc>
        <w:tc>
          <w:tcPr>
            <w:tcW w:w="609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color w:val="000000"/>
                <w:kern w:val="0"/>
                <w:sz w:val="20"/>
                <w:szCs w:val="20"/>
                <w:lang w:bidi="ar"/>
              </w:rPr>
              <w:t>本年处理决定数量</w:t>
            </w:r>
          </w:p>
        </w:tc>
      </w:tr>
      <w:tr>
        <w:tblPrEx>
          <w:tblCellMar>
            <w:top w:w="0" w:type="dxa"/>
            <w:left w:w="0" w:type="dxa"/>
            <w:bottom w:w="0" w:type="dxa"/>
            <w:right w:w="0" w:type="dxa"/>
          </w:tblCellMar>
        </w:tblPrEx>
        <w:trPr>
          <w:jc w:val="center"/>
        </w:trPr>
        <w:tc>
          <w:tcPr>
            <w:tcW w:w="2500"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color w:val="000000"/>
                <w:kern w:val="0"/>
                <w:sz w:val="20"/>
                <w:szCs w:val="20"/>
                <w:lang w:bidi="ar"/>
              </w:rPr>
              <w:t>行政处罚</w:t>
            </w:r>
          </w:p>
        </w:tc>
        <w:tc>
          <w:tcPr>
            <w:tcW w:w="609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0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r>
      <w:tr>
        <w:tblPrEx>
          <w:tblCellMar>
            <w:top w:w="0" w:type="dxa"/>
            <w:left w:w="0" w:type="dxa"/>
            <w:bottom w:w="0" w:type="dxa"/>
            <w:right w:w="0" w:type="dxa"/>
          </w:tblCellMar>
        </w:tblPrEx>
        <w:trPr>
          <w:jc w:val="center"/>
        </w:trPr>
        <w:tc>
          <w:tcPr>
            <w:tcW w:w="2500"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color w:val="000000"/>
                <w:kern w:val="0"/>
                <w:sz w:val="20"/>
                <w:szCs w:val="20"/>
                <w:lang w:bidi="ar"/>
              </w:rPr>
              <w:t>行政强制</w:t>
            </w:r>
          </w:p>
        </w:tc>
        <w:tc>
          <w:tcPr>
            <w:tcW w:w="609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0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r>
      <w:tr>
        <w:tblPrEx>
          <w:tblCellMar>
            <w:top w:w="0" w:type="dxa"/>
            <w:left w:w="0" w:type="dxa"/>
            <w:bottom w:w="0" w:type="dxa"/>
            <w:right w:w="0" w:type="dxa"/>
          </w:tblCellMar>
        </w:tblPrEx>
        <w:trPr>
          <w:jc w:val="center"/>
        </w:trPr>
        <w:tc>
          <w:tcPr>
            <w:tcW w:w="8595"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color w:val="000000"/>
                <w:kern w:val="0"/>
                <w:sz w:val="20"/>
                <w:szCs w:val="20"/>
                <w:lang w:bidi="ar"/>
              </w:rPr>
              <w:t>第二十条第（八）项</w:t>
            </w:r>
          </w:p>
        </w:tc>
      </w:tr>
      <w:tr>
        <w:tblPrEx>
          <w:tblCellMar>
            <w:top w:w="0" w:type="dxa"/>
            <w:left w:w="0" w:type="dxa"/>
            <w:bottom w:w="0" w:type="dxa"/>
            <w:right w:w="0" w:type="dxa"/>
          </w:tblCellMar>
        </w:tblPrEx>
        <w:trPr>
          <w:jc w:val="center"/>
        </w:trPr>
        <w:tc>
          <w:tcPr>
            <w:tcW w:w="2500"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color w:val="000000"/>
                <w:kern w:val="0"/>
                <w:sz w:val="20"/>
                <w:szCs w:val="20"/>
                <w:lang w:bidi="ar"/>
              </w:rPr>
              <w:t>信息内容</w:t>
            </w:r>
          </w:p>
        </w:tc>
        <w:tc>
          <w:tcPr>
            <w:tcW w:w="609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color w:val="000000"/>
                <w:kern w:val="0"/>
                <w:sz w:val="20"/>
                <w:szCs w:val="20"/>
                <w:lang w:bidi="ar"/>
              </w:rPr>
              <w:t>本年收费金额（单位：万元）</w:t>
            </w:r>
          </w:p>
        </w:tc>
      </w:tr>
      <w:tr>
        <w:tblPrEx>
          <w:tblCellMar>
            <w:top w:w="0" w:type="dxa"/>
            <w:left w:w="0" w:type="dxa"/>
            <w:bottom w:w="0" w:type="dxa"/>
            <w:right w:w="0" w:type="dxa"/>
          </w:tblCellMar>
        </w:tblPrEx>
        <w:trPr>
          <w:jc w:val="center"/>
        </w:trPr>
        <w:tc>
          <w:tcPr>
            <w:tcW w:w="2500"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color w:val="000000"/>
                <w:kern w:val="0"/>
                <w:sz w:val="20"/>
                <w:szCs w:val="20"/>
                <w:lang w:bidi="ar"/>
              </w:rPr>
              <w:t>行政事业性收费</w:t>
            </w:r>
          </w:p>
        </w:tc>
        <w:tc>
          <w:tcPr>
            <w:tcW w:w="6095" w:type="dxa"/>
            <w:gridSpan w:val="3"/>
            <w:tcBorders>
              <w:top w:val="nil"/>
              <w:left w:val="nil"/>
              <w:bottom w:val="single" w:color="auto" w:sz="8" w:space="0"/>
              <w:right w:val="single" w:color="000000" w:sz="8" w:space="0"/>
            </w:tcBorders>
            <w:noWrap w:val="0"/>
            <w:tcMar>
              <w:left w:w="57" w:type="dxa"/>
              <w:right w:w="57" w:type="dxa"/>
            </w:tcMar>
            <w:vAlign w:val="center"/>
          </w:tcPr>
          <w:p>
            <w:pPr>
              <w:spacing w:line="400" w:lineRule="exact"/>
              <w:jc w:val="center"/>
              <w:rPr>
                <w:rFonts w:hint="eastAsia" w:ascii="微软雅黑 Light" w:hAnsi="微软雅黑 Light" w:eastAsia="微软雅黑 Light"/>
                <w:sz w:val="24"/>
                <w:szCs w:val="24"/>
              </w:rPr>
            </w:pPr>
            <w:r>
              <w:rPr>
                <w:rFonts w:hint="eastAsia" w:ascii="微软雅黑 Light" w:hAnsi="微软雅黑 Light" w:eastAsia="微软雅黑 Light"/>
                <w:color w:val="000000"/>
                <w:sz w:val="20"/>
                <w:szCs w:val="20"/>
              </w:rPr>
              <w:t>0</w:t>
            </w:r>
          </w:p>
        </w:tc>
      </w:tr>
    </w:tbl>
    <w:p>
      <w:pPr>
        <w:pStyle w:val="10"/>
        <w:widowControl/>
        <w:spacing w:before="0" w:beforeAutospacing="0" w:after="0" w:afterAutospacing="0" w:line="560" w:lineRule="exact"/>
        <w:ind w:firstLine="632" w:firstLineChars="200"/>
        <w:jc w:val="both"/>
        <w:rPr>
          <w:rFonts w:hint="eastAsia" w:ascii="方正黑体_GBK" w:hAnsi="方正黑体_GBK" w:eastAsia="方正黑体_GBK" w:cs="方正黑体_GBK"/>
          <w:color w:val="000000"/>
          <w:sz w:val="32"/>
        </w:rPr>
      </w:pPr>
      <w:r>
        <w:rPr>
          <w:rFonts w:hint="eastAsia" w:ascii="方正黑体_GBK" w:hAnsi="方正黑体_GBK" w:eastAsia="方正黑体_GBK" w:cs="方正黑体_GBK"/>
          <w:color w:val="000000"/>
          <w:sz w:val="32"/>
        </w:rPr>
        <w:t>三、收到和处理政府信息公开申请情况</w:t>
      </w:r>
    </w:p>
    <w:tbl>
      <w:tblPr>
        <w:tblStyle w:val="11"/>
        <w:tblW w:w="868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7"/>
        <w:gridCol w:w="716"/>
        <w:gridCol w:w="2713"/>
        <w:gridCol w:w="702"/>
        <w:gridCol w:w="6"/>
        <w:gridCol w:w="682"/>
        <w:gridCol w:w="6"/>
        <w:gridCol w:w="682"/>
        <w:gridCol w:w="6"/>
        <w:gridCol w:w="661"/>
        <w:gridCol w:w="583"/>
        <w:gridCol w:w="6"/>
        <w:gridCol w:w="536"/>
        <w:gridCol w:w="6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196"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widowControl/>
              <w:spacing w:line="400" w:lineRule="exact"/>
              <w:jc w:val="left"/>
              <w:rPr>
                <w:rFonts w:ascii="微软雅黑 Light" w:hAnsi="微软雅黑 Light" w:eastAsia="微软雅黑 Light"/>
              </w:rPr>
            </w:pPr>
            <w:r>
              <w:rPr>
                <w:rFonts w:ascii="微软雅黑 Light" w:hAnsi="微软雅黑 Light" w:eastAsia="微软雅黑 Light" w:cs="楷体"/>
                <w:kern w:val="0"/>
                <w:sz w:val="20"/>
                <w:szCs w:val="20"/>
                <w:lang w:bidi="ar"/>
              </w:rPr>
              <w:t>（本列数据的勾稽关系为：第一项加第二项之和，等于第三项加第四项之和）</w:t>
            </w:r>
          </w:p>
        </w:tc>
        <w:tc>
          <w:tcPr>
            <w:tcW w:w="4488" w:type="dxa"/>
            <w:gridSpan w:val="11"/>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196"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spacing w:line="400" w:lineRule="exact"/>
              <w:rPr>
                <w:rFonts w:hint="eastAsia" w:ascii="微软雅黑 Light" w:hAnsi="微软雅黑 Light" w:eastAsia="微软雅黑 Light"/>
                <w:sz w:val="24"/>
                <w:szCs w:val="24"/>
              </w:rPr>
            </w:pPr>
          </w:p>
        </w:tc>
        <w:tc>
          <w:tcPr>
            <w:tcW w:w="708" w:type="dxa"/>
            <w:gridSpan w:val="2"/>
            <w:vMerge w:val="restart"/>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自然人</w:t>
            </w:r>
          </w:p>
        </w:tc>
        <w:tc>
          <w:tcPr>
            <w:tcW w:w="3162" w:type="dxa"/>
            <w:gridSpan w:val="8"/>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法人或其他组织</w:t>
            </w:r>
          </w:p>
        </w:tc>
        <w:tc>
          <w:tcPr>
            <w:tcW w:w="618" w:type="dxa"/>
            <w:vMerge w:val="restart"/>
            <w:tcBorders>
              <w:top w:val="single" w:color="auto" w:sz="8" w:space="0"/>
              <w:left w:val="single" w:color="auto" w:sz="0" w:space="0"/>
              <w:right w:val="single" w:color="auto" w:sz="8" w:space="0"/>
            </w:tcBorders>
            <w:shd w:val="clear" w:color="auto" w:fill="9BC2E6"/>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196"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spacing w:line="400" w:lineRule="exact"/>
              <w:rPr>
                <w:rFonts w:hint="eastAsia" w:ascii="微软雅黑 Light" w:hAnsi="微软雅黑 Light" w:eastAsia="微软雅黑 Light"/>
                <w:sz w:val="24"/>
                <w:szCs w:val="24"/>
              </w:rPr>
            </w:pPr>
          </w:p>
        </w:tc>
        <w:tc>
          <w:tcPr>
            <w:tcW w:w="708" w:type="dxa"/>
            <w:gridSpan w:val="2"/>
            <w:vMerge w:val="continue"/>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688" w:type="dxa"/>
            <w:gridSpan w:val="2"/>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商业</w:t>
            </w:r>
          </w:p>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企业</w:t>
            </w:r>
          </w:p>
        </w:tc>
        <w:tc>
          <w:tcPr>
            <w:tcW w:w="688" w:type="dxa"/>
            <w:gridSpan w:val="2"/>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科研</w:t>
            </w:r>
          </w:p>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机构</w:t>
            </w:r>
          </w:p>
        </w:tc>
        <w:tc>
          <w:tcPr>
            <w:tcW w:w="661"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社会公益组织</w:t>
            </w:r>
          </w:p>
        </w:tc>
        <w:tc>
          <w:tcPr>
            <w:tcW w:w="583"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法律服务机构</w:t>
            </w:r>
          </w:p>
        </w:tc>
        <w:tc>
          <w:tcPr>
            <w:tcW w:w="542" w:type="dxa"/>
            <w:gridSpan w:val="2"/>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其他</w:t>
            </w:r>
          </w:p>
        </w:tc>
        <w:tc>
          <w:tcPr>
            <w:tcW w:w="618" w:type="dxa"/>
            <w:vMerge w:val="continue"/>
            <w:tcBorders>
              <w:left w:val="single" w:color="auto" w:sz="0" w:space="0"/>
              <w:bottom w:val="outset" w:color="auto" w:sz="8" w:space="0"/>
              <w:right w:val="single" w:color="auto" w:sz="8" w:space="0"/>
            </w:tcBorders>
            <w:shd w:val="clear" w:color="auto" w:fill="9BC2E6"/>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196"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一、本年新收政府信息公开申请数量</w:t>
            </w:r>
          </w:p>
        </w:tc>
        <w:tc>
          <w:tcPr>
            <w:tcW w:w="70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17</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42"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17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196"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二、上年结转政府信息公开申请数量</w:t>
            </w:r>
          </w:p>
        </w:tc>
        <w:tc>
          <w:tcPr>
            <w:tcW w:w="70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lang w:eastAsia="zh-CN"/>
              </w:rPr>
            </w:pPr>
            <w:r>
              <w:rPr>
                <w:rFonts w:hint="eastAsia" w:ascii="微软雅黑 Light" w:hAnsi="微软雅黑 Light" w:eastAsia="微软雅黑 Light"/>
                <w:color w:val="000000"/>
                <w:sz w:val="20"/>
                <w:szCs w:val="20"/>
                <w:lang w:val="en-US" w:eastAsia="zh-CN"/>
              </w:rPr>
              <w:t>2</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42"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lang w:eastAsia="zh-CN"/>
              </w:rPr>
            </w:pPr>
            <w:r>
              <w:rPr>
                <w:rFonts w:hint="eastAsia" w:ascii="微软雅黑 Light" w:hAnsi="微软雅黑 Light" w:eastAsia="微软雅黑 Light"/>
                <w:color w:val="000000"/>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三、本年度办理结果</w:t>
            </w:r>
          </w:p>
        </w:tc>
        <w:tc>
          <w:tcPr>
            <w:tcW w:w="3429"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（一）予以公开</w:t>
            </w:r>
          </w:p>
        </w:tc>
        <w:tc>
          <w:tcPr>
            <w:tcW w:w="70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1</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42"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3429"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（二）部分公开</w:t>
            </w:r>
            <w:r>
              <w:rPr>
                <w:rFonts w:ascii="微软雅黑 Light" w:hAnsi="微软雅黑 Light" w:eastAsia="微软雅黑 Light" w:cs="楷体"/>
                <w:kern w:val="0"/>
                <w:sz w:val="20"/>
                <w:szCs w:val="20"/>
                <w:lang w:bidi="ar"/>
              </w:rPr>
              <w:t>（区分处理的，只计这一情形，不计其他情形）</w:t>
            </w:r>
          </w:p>
        </w:tc>
        <w:tc>
          <w:tcPr>
            <w:tcW w:w="70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2</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42"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716" w:type="dxa"/>
            <w:vMerge w:val="restart"/>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（三）不予公开</w:t>
            </w:r>
          </w:p>
        </w:tc>
        <w:tc>
          <w:tcPr>
            <w:tcW w:w="2713"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1.属于国家秘密</w:t>
            </w:r>
          </w:p>
        </w:tc>
        <w:tc>
          <w:tcPr>
            <w:tcW w:w="70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7"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9"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36"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2713"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2.其他法律行政法规禁止公开</w:t>
            </w:r>
          </w:p>
        </w:tc>
        <w:tc>
          <w:tcPr>
            <w:tcW w:w="70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7"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9"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36"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2713"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3.危及“三安全一稳定”</w:t>
            </w:r>
          </w:p>
        </w:tc>
        <w:tc>
          <w:tcPr>
            <w:tcW w:w="70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7"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9"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36"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2713"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4.保护第三方合法权益</w:t>
            </w:r>
          </w:p>
        </w:tc>
        <w:tc>
          <w:tcPr>
            <w:tcW w:w="70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7"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9"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36"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2713"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5.属于三类内部事务信息</w:t>
            </w:r>
          </w:p>
        </w:tc>
        <w:tc>
          <w:tcPr>
            <w:tcW w:w="70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7"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9"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36"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2713"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6.属于四类过程性信息</w:t>
            </w:r>
          </w:p>
        </w:tc>
        <w:tc>
          <w:tcPr>
            <w:tcW w:w="70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lang w:eastAsia="zh-CN"/>
              </w:rPr>
            </w:pPr>
            <w:r>
              <w:rPr>
                <w:rFonts w:hint="eastAsia" w:ascii="微软雅黑 Light" w:hAnsi="微软雅黑 Light" w:eastAsia="微软雅黑 Light"/>
                <w:color w:val="000000"/>
                <w:sz w:val="20"/>
                <w:szCs w:val="20"/>
                <w:lang w:val="en-US" w:eastAsia="zh-CN"/>
              </w:rPr>
              <w:t>1</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7"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9"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36"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lang w:eastAsia="zh-CN"/>
              </w:rPr>
            </w:pPr>
            <w:r>
              <w:rPr>
                <w:rFonts w:hint="eastAsia" w:ascii="微软雅黑 Light" w:hAnsi="微软雅黑 Light" w:eastAsia="微软雅黑 Light"/>
                <w:color w:val="00000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2713"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7.属于行政执法案卷</w:t>
            </w:r>
          </w:p>
        </w:tc>
        <w:tc>
          <w:tcPr>
            <w:tcW w:w="70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7"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9"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36"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2713"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8.属于行政查询事项</w:t>
            </w:r>
          </w:p>
        </w:tc>
        <w:tc>
          <w:tcPr>
            <w:tcW w:w="70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lang w:eastAsia="zh-CN"/>
              </w:rPr>
            </w:pPr>
            <w:r>
              <w:rPr>
                <w:rFonts w:hint="eastAsia" w:ascii="微软雅黑 Light" w:hAnsi="微软雅黑 Light" w:eastAsia="微软雅黑 Light"/>
                <w:color w:val="000000"/>
                <w:sz w:val="20"/>
                <w:szCs w:val="20"/>
                <w:lang w:val="en-US" w:eastAsia="zh-CN"/>
              </w:rPr>
              <w:t>1</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7"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9"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36"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lang w:eastAsia="zh-CN"/>
              </w:rPr>
            </w:pPr>
            <w:r>
              <w:rPr>
                <w:rFonts w:hint="eastAsia" w:ascii="微软雅黑 Light" w:hAnsi="微软雅黑 Light" w:eastAsia="微软雅黑 Light"/>
                <w:color w:val="00000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716" w:type="dxa"/>
            <w:vMerge w:val="restart"/>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（四）无法提供</w:t>
            </w:r>
          </w:p>
        </w:tc>
        <w:tc>
          <w:tcPr>
            <w:tcW w:w="2713"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1.本机关不掌握相关政府信息</w:t>
            </w:r>
          </w:p>
        </w:tc>
        <w:tc>
          <w:tcPr>
            <w:tcW w:w="70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5</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7"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9"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36"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2713"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2.没有现成信息需要另行制作</w:t>
            </w:r>
          </w:p>
        </w:tc>
        <w:tc>
          <w:tcPr>
            <w:tcW w:w="70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1</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7"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9"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36"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2713"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3.补正后申请内容仍不明确</w:t>
            </w:r>
          </w:p>
        </w:tc>
        <w:tc>
          <w:tcPr>
            <w:tcW w:w="70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7"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9"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36"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716" w:type="dxa"/>
            <w:vMerge w:val="restart"/>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（五）不予处理</w:t>
            </w:r>
          </w:p>
        </w:tc>
        <w:tc>
          <w:tcPr>
            <w:tcW w:w="2713"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1.信访举报投诉类申请</w:t>
            </w:r>
          </w:p>
        </w:tc>
        <w:tc>
          <w:tcPr>
            <w:tcW w:w="70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7</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7"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9"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36"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2713"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2.重复申请</w:t>
            </w:r>
          </w:p>
        </w:tc>
        <w:tc>
          <w:tcPr>
            <w:tcW w:w="70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1</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7"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9"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36"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2713"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3.要求提供公开出版物</w:t>
            </w:r>
          </w:p>
        </w:tc>
        <w:tc>
          <w:tcPr>
            <w:tcW w:w="70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7"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9"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36"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2713"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4.无正当理由大量反复申请</w:t>
            </w:r>
          </w:p>
        </w:tc>
        <w:tc>
          <w:tcPr>
            <w:tcW w:w="70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7"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9"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36"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716"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2713" w:type="dxa"/>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spacing w:line="400" w:lineRule="exact"/>
              <w:rPr>
                <w:rFonts w:ascii="微软雅黑 Light" w:hAnsi="微软雅黑 Light" w:eastAsia="微软雅黑 Light"/>
              </w:rPr>
            </w:pPr>
            <w:r>
              <w:rPr>
                <w:rFonts w:hint="eastAsia" w:ascii="微软雅黑 Light" w:hAnsi="微软雅黑 Light" w:eastAsia="微软雅黑 Light" w:cs="宋体"/>
                <w:kern w:val="0"/>
                <w:sz w:val="20"/>
                <w:szCs w:val="20"/>
                <w:lang w:bidi="ar"/>
              </w:rPr>
              <w:t>5.要求行政机关确认或重新出具已获取信息</w:t>
            </w:r>
          </w:p>
        </w:tc>
        <w:tc>
          <w:tcPr>
            <w:tcW w:w="702"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7" w:type="dxa"/>
            <w:gridSpan w:val="2"/>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9" w:type="dxa"/>
            <w:gridSpan w:val="2"/>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36"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716" w:type="dxa"/>
            <w:vMerge w:val="restart"/>
            <w:tcBorders>
              <w:top w:val="outset" w:color="auto" w:sz="8"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（六）其他处理</w:t>
            </w:r>
          </w:p>
        </w:tc>
        <w:tc>
          <w:tcPr>
            <w:tcW w:w="2713"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spacing w:line="400" w:lineRule="exact"/>
              <w:rPr>
                <w:rFonts w:ascii="微软雅黑 Light" w:hAnsi="微软雅黑 Light" w:eastAsia="微软雅黑 Light"/>
              </w:rPr>
            </w:pPr>
            <w:r>
              <w:rPr>
                <w:rFonts w:hint="eastAsia" w:ascii="微软雅黑 Light" w:hAnsi="微软雅黑 Light" w:eastAsia="微软雅黑 Light" w:cs="宋体"/>
                <w:kern w:val="0"/>
                <w:sz w:val="20"/>
                <w:szCs w:val="20"/>
                <w:lang w:bidi="ar"/>
              </w:rPr>
              <w:t>1.申请人无正当理由逾期不补正、行政机关不再处理其政府信息公开申请</w:t>
            </w:r>
          </w:p>
        </w:tc>
        <w:tc>
          <w:tcPr>
            <w:tcW w:w="70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7"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9"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36"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716" w:type="dxa"/>
            <w:vMerge w:val="continue"/>
            <w:tcBorders>
              <w:top w:val="outset" w:color="auto" w:sz="8"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2713"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spacing w:line="400" w:lineRule="exact"/>
              <w:rPr>
                <w:rFonts w:ascii="微软雅黑 Light" w:hAnsi="微软雅黑 Light" w:eastAsia="微软雅黑 Light"/>
              </w:rPr>
            </w:pPr>
            <w:r>
              <w:rPr>
                <w:rFonts w:hint="eastAsia" w:ascii="微软雅黑 Light" w:hAnsi="微软雅黑 Light" w:eastAsia="微软雅黑 Light" w:cs="宋体"/>
                <w:kern w:val="0"/>
                <w:sz w:val="20"/>
                <w:szCs w:val="20"/>
                <w:lang w:bidi="ar"/>
              </w:rPr>
              <w:t>2.申请人逾期未按收费通知要求缴纳费用、行政机关不再处理其政府信息公开申请</w:t>
            </w:r>
          </w:p>
        </w:tc>
        <w:tc>
          <w:tcPr>
            <w:tcW w:w="70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7"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9"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36"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716" w:type="dxa"/>
            <w:vMerge w:val="continue"/>
            <w:tcBorders>
              <w:top w:val="outset" w:color="auto" w:sz="8"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2713"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3.其他</w:t>
            </w:r>
          </w:p>
        </w:tc>
        <w:tc>
          <w:tcPr>
            <w:tcW w:w="702"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7"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9"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36"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spacing w:line="400" w:lineRule="exact"/>
              <w:rPr>
                <w:rFonts w:hint="eastAsia" w:ascii="微软雅黑 Light" w:hAnsi="微软雅黑 Light" w:eastAsia="微软雅黑 Light"/>
                <w:sz w:val="24"/>
                <w:szCs w:val="24"/>
              </w:rPr>
            </w:pPr>
          </w:p>
        </w:tc>
        <w:tc>
          <w:tcPr>
            <w:tcW w:w="3429"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（七）总计</w:t>
            </w:r>
          </w:p>
        </w:tc>
        <w:tc>
          <w:tcPr>
            <w:tcW w:w="70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19</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42"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196" w:type="dxa"/>
            <w:gridSpan w:val="3"/>
            <w:tcBorders>
              <w:top w:val="single" w:color="auto" w:sz="0" w:space="0"/>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spacing w:line="400" w:lineRule="exact"/>
              <w:jc w:val="left"/>
              <w:rPr>
                <w:rFonts w:ascii="微软雅黑 Light" w:hAnsi="微软雅黑 Light" w:eastAsia="微软雅黑 Light"/>
              </w:rPr>
            </w:pPr>
            <w:r>
              <w:rPr>
                <w:rFonts w:hint="eastAsia" w:ascii="微软雅黑 Light" w:hAnsi="微软雅黑 Light" w:eastAsia="微软雅黑 Light" w:cs="宋体"/>
                <w:kern w:val="0"/>
                <w:sz w:val="20"/>
                <w:szCs w:val="20"/>
                <w:lang w:bidi="ar"/>
              </w:rPr>
              <w:t>四、结转下年度继续办理</w:t>
            </w:r>
          </w:p>
        </w:tc>
        <w:tc>
          <w:tcPr>
            <w:tcW w:w="708" w:type="dxa"/>
            <w:gridSpan w:val="2"/>
            <w:tcBorders>
              <w:top w:val="outset" w:color="auto" w:sz="6" w:space="0"/>
              <w:left w:val="single" w:color="auto" w:sz="0" w:space="0"/>
              <w:bottom w:val="outset" w:color="auto" w:sz="6" w:space="0"/>
              <w:right w:val="outset" w:color="auto" w:sz="6" w:space="0"/>
            </w:tcBorders>
            <w:noWrap w:val="0"/>
            <w:vAlign w:val="center"/>
          </w:tcPr>
          <w:p>
            <w:pPr>
              <w:widowControl/>
              <w:spacing w:line="440" w:lineRule="exact"/>
              <w:jc w:val="center"/>
              <w:rPr>
                <w:rFonts w:hint="eastAsia"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0</w:t>
            </w:r>
          </w:p>
        </w:tc>
        <w:tc>
          <w:tcPr>
            <w:tcW w:w="688" w:type="dxa"/>
            <w:gridSpan w:val="2"/>
            <w:tcBorders>
              <w:top w:val="outset" w:color="auto" w:sz="6" w:space="0"/>
              <w:left w:val="single" w:color="auto" w:sz="0" w:space="0"/>
              <w:bottom w:val="outset" w:color="auto" w:sz="6" w:space="0"/>
              <w:right w:val="outset" w:color="auto" w:sz="6" w:space="0"/>
            </w:tcBorders>
            <w:noWrap w:val="0"/>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88" w:type="dxa"/>
            <w:gridSpan w:val="2"/>
            <w:tcBorders>
              <w:top w:val="outset" w:color="auto" w:sz="6" w:space="0"/>
              <w:left w:val="single" w:color="auto" w:sz="0" w:space="0"/>
              <w:bottom w:val="outset" w:color="auto" w:sz="6" w:space="0"/>
              <w:right w:val="outset" w:color="auto" w:sz="6" w:space="0"/>
            </w:tcBorders>
            <w:noWrap w:val="0"/>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61" w:type="dxa"/>
            <w:tcBorders>
              <w:top w:val="outset" w:color="auto" w:sz="6" w:space="0"/>
              <w:left w:val="single" w:color="auto" w:sz="0" w:space="0"/>
              <w:bottom w:val="outset" w:color="auto" w:sz="6" w:space="0"/>
              <w:right w:val="outset" w:color="auto" w:sz="6" w:space="0"/>
            </w:tcBorders>
            <w:noWrap w:val="0"/>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83" w:type="dxa"/>
            <w:tcBorders>
              <w:top w:val="outset" w:color="auto" w:sz="6" w:space="0"/>
              <w:left w:val="single" w:color="auto" w:sz="0" w:space="0"/>
              <w:bottom w:val="outset" w:color="auto" w:sz="6" w:space="0"/>
              <w:right w:val="outset" w:color="auto" w:sz="6" w:space="0"/>
            </w:tcBorders>
            <w:noWrap w:val="0"/>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42" w:type="dxa"/>
            <w:gridSpan w:val="2"/>
            <w:tcBorders>
              <w:top w:val="outset" w:color="auto" w:sz="6" w:space="0"/>
              <w:left w:val="single" w:color="auto" w:sz="0" w:space="0"/>
              <w:bottom w:val="outset" w:color="auto" w:sz="6" w:space="0"/>
              <w:right w:val="outset" w:color="auto" w:sz="6" w:space="0"/>
            </w:tcBorders>
            <w:noWrap w:val="0"/>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18" w:type="dxa"/>
            <w:tcBorders>
              <w:top w:val="outset" w:color="auto" w:sz="6" w:space="0"/>
              <w:left w:val="single" w:color="auto" w:sz="0" w:space="0"/>
              <w:bottom w:val="outset" w:color="auto" w:sz="6" w:space="0"/>
              <w:right w:val="outset" w:color="auto" w:sz="6" w:space="0"/>
            </w:tcBorders>
            <w:noWrap w:val="0"/>
            <w:vAlign w:val="center"/>
          </w:tcPr>
          <w:p>
            <w:pPr>
              <w:widowControl/>
              <w:spacing w:line="440" w:lineRule="exact"/>
              <w:jc w:val="center"/>
              <w:rPr>
                <w:rFonts w:hint="eastAsia" w:ascii="微软雅黑 Light" w:hAnsi="微软雅黑 Light" w:eastAsia="微软雅黑 Light"/>
                <w:color w:val="000000"/>
                <w:sz w:val="20"/>
                <w:szCs w:val="20"/>
                <w:lang w:val="en-US" w:eastAsia="zh-CN"/>
              </w:rPr>
            </w:pPr>
            <w:r>
              <w:rPr>
                <w:rFonts w:hint="eastAsia" w:ascii="微软雅黑 Light" w:hAnsi="微软雅黑 Light" w:eastAsia="微软雅黑 Light"/>
                <w:color w:val="000000"/>
                <w:sz w:val="20"/>
                <w:szCs w:val="20"/>
                <w:lang w:val="en-US" w:eastAsia="zh-CN"/>
              </w:rPr>
              <w:t>0</w:t>
            </w:r>
          </w:p>
        </w:tc>
      </w:tr>
    </w:tbl>
    <w:p>
      <w:pPr>
        <w:pStyle w:val="10"/>
        <w:widowControl/>
        <w:spacing w:before="0" w:beforeAutospacing="0" w:after="195" w:afterLines="30" w:afterAutospacing="0" w:line="560" w:lineRule="exact"/>
        <w:ind w:firstLine="632" w:firstLineChars="200"/>
        <w:jc w:val="both"/>
        <w:rPr>
          <w:rFonts w:hint="eastAsia" w:ascii="方正黑体_GBK" w:hAnsi="方正黑体_GBK" w:eastAsia="方正黑体_GBK" w:cs="方正黑体_GBK"/>
          <w:color w:val="000000"/>
          <w:sz w:val="32"/>
        </w:rPr>
      </w:pPr>
      <w:r>
        <w:rPr>
          <w:rFonts w:hint="eastAsia" w:ascii="方正黑体_GBK" w:hAnsi="方正黑体_GBK" w:eastAsia="方正黑体_GBK" w:cs="方正黑体_GBK"/>
          <w:color w:val="000000"/>
          <w:sz w:val="32"/>
        </w:rPr>
        <w:t>四、政府信息公开行政复议、行政诉讼情况</w:t>
      </w:r>
    </w:p>
    <w:tbl>
      <w:tblPr>
        <w:tblStyle w:val="11"/>
        <w:tblW w:w="940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24"/>
        <w:gridCol w:w="650"/>
        <w:gridCol w:w="650"/>
        <w:gridCol w:w="650"/>
        <w:gridCol w:w="576"/>
        <w:gridCol w:w="649"/>
        <w:gridCol w:w="649"/>
        <w:gridCol w:w="650"/>
        <w:gridCol w:w="650"/>
        <w:gridCol w:w="571"/>
        <w:gridCol w:w="650"/>
        <w:gridCol w:w="650"/>
        <w:gridCol w:w="650"/>
        <w:gridCol w:w="650"/>
        <w:gridCol w:w="48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150"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行政复议</w:t>
            </w:r>
          </w:p>
        </w:tc>
        <w:tc>
          <w:tcPr>
            <w:tcW w:w="6250"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24"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结果维持</w:t>
            </w:r>
          </w:p>
        </w:tc>
        <w:tc>
          <w:tcPr>
            <w:tcW w:w="650"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结果</w:t>
            </w:r>
            <w:r>
              <w:rPr>
                <w:rFonts w:hint="eastAsia" w:ascii="微软雅黑 Light" w:hAnsi="微软雅黑 Light" w:eastAsia="微软雅黑 Light" w:cs="宋体"/>
                <w:kern w:val="0"/>
                <w:sz w:val="20"/>
                <w:szCs w:val="20"/>
                <w:lang w:bidi="ar"/>
              </w:rPr>
              <w:br w:type="textWrapping"/>
            </w:r>
            <w:r>
              <w:rPr>
                <w:rFonts w:hint="eastAsia" w:ascii="微软雅黑 Light" w:hAnsi="微软雅黑 Light" w:eastAsia="微软雅黑 Light" w:cs="宋体"/>
                <w:kern w:val="0"/>
                <w:sz w:val="20"/>
                <w:szCs w:val="20"/>
                <w:lang w:bidi="ar"/>
              </w:rPr>
              <w:t>纠正</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其他</w:t>
            </w:r>
            <w:r>
              <w:rPr>
                <w:rFonts w:hint="eastAsia" w:ascii="微软雅黑 Light" w:hAnsi="微软雅黑 Light" w:eastAsia="微软雅黑 Light" w:cs="宋体"/>
                <w:kern w:val="0"/>
                <w:sz w:val="20"/>
                <w:szCs w:val="20"/>
                <w:lang w:bidi="ar"/>
              </w:rPr>
              <w:br w:type="textWrapping"/>
            </w:r>
            <w:r>
              <w:rPr>
                <w:rFonts w:hint="eastAsia" w:ascii="微软雅黑 Light" w:hAnsi="微软雅黑 Light" w:eastAsia="微软雅黑 Light" w:cs="宋体"/>
                <w:kern w:val="0"/>
                <w:sz w:val="20"/>
                <w:szCs w:val="20"/>
                <w:lang w:bidi="ar"/>
              </w:rPr>
              <w:t>结果</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尚未</w:t>
            </w:r>
            <w:r>
              <w:rPr>
                <w:rFonts w:hint="eastAsia" w:ascii="微软雅黑 Light" w:hAnsi="微软雅黑 Light" w:eastAsia="微软雅黑 Light" w:cs="宋体"/>
                <w:kern w:val="0"/>
                <w:sz w:val="20"/>
                <w:szCs w:val="20"/>
                <w:lang w:bidi="ar"/>
              </w:rPr>
              <w:br w:type="textWrapping"/>
            </w:r>
            <w:r>
              <w:rPr>
                <w:rFonts w:hint="eastAsia" w:ascii="微软雅黑 Light" w:hAnsi="微软雅黑 Light" w:eastAsia="微软雅黑 Light" w:cs="宋体"/>
                <w:kern w:val="0"/>
                <w:sz w:val="20"/>
                <w:szCs w:val="20"/>
                <w:lang w:bidi="ar"/>
              </w:rPr>
              <w:t>审结</w:t>
            </w:r>
          </w:p>
        </w:tc>
        <w:tc>
          <w:tcPr>
            <w:tcW w:w="576"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总计</w:t>
            </w:r>
          </w:p>
        </w:tc>
        <w:tc>
          <w:tcPr>
            <w:tcW w:w="3169"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未经复议直接起诉</w:t>
            </w:r>
          </w:p>
        </w:tc>
        <w:tc>
          <w:tcPr>
            <w:tcW w:w="3081"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2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400" w:lineRule="exact"/>
              <w:rPr>
                <w:rFonts w:hint="eastAsia" w:ascii="微软雅黑 Light" w:hAnsi="微软雅黑 Light" w:eastAsia="微软雅黑 Light"/>
                <w:sz w:val="24"/>
                <w:szCs w:val="24"/>
              </w:rPr>
            </w:pPr>
          </w:p>
        </w:tc>
        <w:tc>
          <w:tcPr>
            <w:tcW w:w="65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400" w:lineRule="exact"/>
              <w:rPr>
                <w:rFonts w:hint="eastAsia" w:ascii="微软雅黑 Light" w:hAnsi="微软雅黑 Light" w:eastAsia="微软雅黑 Light"/>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400" w:lineRule="exact"/>
              <w:rPr>
                <w:rFonts w:hint="eastAsia" w:ascii="微软雅黑 Light" w:hAnsi="微软雅黑 Light" w:eastAsia="微软雅黑 Light"/>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400" w:lineRule="exact"/>
              <w:rPr>
                <w:rFonts w:hint="eastAsia" w:ascii="微软雅黑 Light" w:hAnsi="微软雅黑 Light" w:eastAsia="微软雅黑 Light"/>
                <w:sz w:val="24"/>
                <w:szCs w:val="24"/>
              </w:rPr>
            </w:pPr>
          </w:p>
        </w:tc>
        <w:tc>
          <w:tcPr>
            <w:tcW w:w="576"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400" w:lineRule="exact"/>
              <w:rPr>
                <w:rFonts w:hint="eastAsia" w:ascii="微软雅黑 Light" w:hAnsi="微软雅黑 Light" w:eastAsia="微软雅黑 Light"/>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结果</w:t>
            </w:r>
            <w:r>
              <w:rPr>
                <w:rFonts w:hint="eastAsia" w:ascii="微软雅黑 Light" w:hAnsi="微软雅黑 Light" w:eastAsia="微软雅黑 Light" w:cs="宋体"/>
                <w:kern w:val="0"/>
                <w:sz w:val="20"/>
                <w:szCs w:val="20"/>
                <w:lang w:bidi="ar"/>
              </w:rPr>
              <w:br w:type="textWrapping"/>
            </w:r>
            <w:r>
              <w:rPr>
                <w:rFonts w:hint="eastAsia" w:ascii="微软雅黑 Light" w:hAnsi="微软雅黑 Light" w:eastAsia="微软雅黑 Light" w:cs="宋体"/>
                <w:kern w:val="0"/>
                <w:sz w:val="20"/>
                <w:szCs w:val="20"/>
                <w:lang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结果</w:t>
            </w:r>
            <w:r>
              <w:rPr>
                <w:rFonts w:hint="eastAsia" w:ascii="微软雅黑 Light" w:hAnsi="微软雅黑 Light" w:eastAsia="微软雅黑 Light" w:cs="宋体"/>
                <w:kern w:val="0"/>
                <w:sz w:val="20"/>
                <w:szCs w:val="20"/>
                <w:lang w:bidi="ar"/>
              </w:rPr>
              <w:br w:type="textWrapping"/>
            </w:r>
            <w:r>
              <w:rPr>
                <w:rFonts w:hint="eastAsia" w:ascii="微软雅黑 Light" w:hAnsi="微软雅黑 Light" w:eastAsia="微软雅黑 Light"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其他</w:t>
            </w:r>
            <w:r>
              <w:rPr>
                <w:rFonts w:hint="eastAsia" w:ascii="微软雅黑 Light" w:hAnsi="微软雅黑 Light" w:eastAsia="微软雅黑 Light" w:cs="宋体"/>
                <w:kern w:val="0"/>
                <w:sz w:val="20"/>
                <w:szCs w:val="20"/>
                <w:lang w:bidi="ar"/>
              </w:rPr>
              <w:br w:type="textWrapping"/>
            </w:r>
            <w:r>
              <w:rPr>
                <w:rFonts w:hint="eastAsia" w:ascii="微软雅黑 Light" w:hAnsi="微软雅黑 Light" w:eastAsia="微软雅黑 Light"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尚未</w:t>
            </w:r>
            <w:r>
              <w:rPr>
                <w:rFonts w:hint="eastAsia" w:ascii="微软雅黑 Light" w:hAnsi="微软雅黑 Light" w:eastAsia="微软雅黑 Light" w:cs="宋体"/>
                <w:kern w:val="0"/>
                <w:sz w:val="20"/>
                <w:szCs w:val="20"/>
                <w:lang w:bidi="ar"/>
              </w:rPr>
              <w:br w:type="textWrapping"/>
            </w:r>
            <w:r>
              <w:rPr>
                <w:rFonts w:hint="eastAsia" w:ascii="微软雅黑 Light" w:hAnsi="微软雅黑 Light" w:eastAsia="微软雅黑 Light" w:cs="宋体"/>
                <w:kern w:val="0"/>
                <w:sz w:val="20"/>
                <w:szCs w:val="20"/>
                <w:lang w:bidi="ar"/>
              </w:rPr>
              <w:t>审结</w:t>
            </w:r>
          </w:p>
        </w:tc>
        <w:tc>
          <w:tcPr>
            <w:tcW w:w="57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color w:val="000000"/>
                <w:kern w:val="0"/>
                <w:sz w:val="20"/>
                <w:szCs w:val="20"/>
                <w:lang w:bidi="ar"/>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结果</w:t>
            </w:r>
            <w:r>
              <w:rPr>
                <w:rFonts w:hint="eastAsia" w:ascii="微软雅黑 Light" w:hAnsi="微软雅黑 Light" w:eastAsia="微软雅黑 Light" w:cs="宋体"/>
                <w:kern w:val="0"/>
                <w:sz w:val="20"/>
                <w:szCs w:val="20"/>
                <w:lang w:bidi="ar"/>
              </w:rPr>
              <w:br w:type="textWrapping"/>
            </w:r>
            <w:r>
              <w:rPr>
                <w:rFonts w:hint="eastAsia" w:ascii="微软雅黑 Light" w:hAnsi="微软雅黑 Light" w:eastAsia="微软雅黑 Light" w:cs="宋体"/>
                <w:kern w:val="0"/>
                <w:sz w:val="20"/>
                <w:szCs w:val="20"/>
                <w:lang w:bidi="ar"/>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结果</w:t>
            </w:r>
            <w:r>
              <w:rPr>
                <w:rFonts w:hint="eastAsia" w:ascii="微软雅黑 Light" w:hAnsi="微软雅黑 Light" w:eastAsia="微软雅黑 Light" w:cs="宋体"/>
                <w:kern w:val="0"/>
                <w:sz w:val="20"/>
                <w:szCs w:val="20"/>
                <w:lang w:bidi="ar"/>
              </w:rPr>
              <w:br w:type="textWrapping"/>
            </w:r>
            <w:r>
              <w:rPr>
                <w:rFonts w:hint="eastAsia" w:ascii="微软雅黑 Light" w:hAnsi="微软雅黑 Light" w:eastAsia="微软雅黑 Light"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color w:val="000000"/>
                <w:kern w:val="0"/>
                <w:sz w:val="20"/>
                <w:szCs w:val="20"/>
                <w:lang w:bidi="ar"/>
              </w:rPr>
              <w:t>其他</w:t>
            </w:r>
            <w:r>
              <w:rPr>
                <w:rFonts w:hint="eastAsia" w:ascii="微软雅黑 Light" w:hAnsi="微软雅黑 Light" w:eastAsia="微软雅黑 Light" w:cs="宋体"/>
                <w:color w:val="000000"/>
                <w:kern w:val="0"/>
                <w:sz w:val="20"/>
                <w:szCs w:val="20"/>
                <w:lang w:bidi="ar"/>
              </w:rPr>
              <w:br w:type="textWrapping"/>
            </w:r>
            <w:r>
              <w:rPr>
                <w:rFonts w:hint="eastAsia" w:ascii="微软雅黑 Light" w:hAnsi="微软雅黑 Light" w:eastAsia="微软雅黑 Light" w:cs="宋体"/>
                <w:color w:val="000000"/>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kern w:val="0"/>
                <w:sz w:val="20"/>
                <w:szCs w:val="20"/>
                <w:lang w:bidi="ar"/>
              </w:rPr>
              <w:t>尚未</w:t>
            </w:r>
            <w:r>
              <w:rPr>
                <w:rFonts w:hint="eastAsia" w:ascii="微软雅黑 Light" w:hAnsi="微软雅黑 Light" w:eastAsia="微软雅黑 Light" w:cs="宋体"/>
                <w:kern w:val="0"/>
                <w:sz w:val="20"/>
                <w:szCs w:val="20"/>
                <w:lang w:bidi="ar"/>
              </w:rPr>
              <w:br w:type="textWrapping"/>
            </w:r>
            <w:r>
              <w:rPr>
                <w:rFonts w:hint="eastAsia" w:ascii="微软雅黑 Light" w:hAnsi="微软雅黑 Light" w:eastAsia="微软雅黑 Light" w:cs="宋体"/>
                <w:kern w:val="0"/>
                <w:sz w:val="20"/>
                <w:szCs w:val="20"/>
                <w:lang w:bidi="ar"/>
              </w:rPr>
              <w:t>审结</w:t>
            </w:r>
          </w:p>
        </w:tc>
        <w:tc>
          <w:tcPr>
            <w:tcW w:w="48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400" w:lineRule="exact"/>
              <w:jc w:val="center"/>
              <w:rPr>
                <w:rFonts w:ascii="微软雅黑 Light" w:hAnsi="微软雅黑 Light" w:eastAsia="微软雅黑 Light"/>
              </w:rPr>
            </w:pPr>
            <w:r>
              <w:rPr>
                <w:rFonts w:hint="eastAsia" w:ascii="微软雅黑 Light" w:hAnsi="微软雅黑 Light" w:eastAsia="微软雅黑 Light"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24"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440" w:lineRule="exact"/>
              <w:jc w:val="center"/>
              <w:rPr>
                <w:rFonts w:hint="eastAsia" w:ascii="微软雅黑 Light" w:hAnsi="微软雅黑 Light" w:eastAsia="微软雅黑 Light"/>
                <w:color w:val="000000"/>
                <w:sz w:val="20"/>
                <w:szCs w:val="20"/>
                <w:lang w:eastAsia="zh-CN"/>
              </w:rPr>
            </w:pPr>
            <w:r>
              <w:rPr>
                <w:rFonts w:hint="eastAsia" w:ascii="微软雅黑 Light" w:hAnsi="微软雅黑 Light" w:eastAsia="微软雅黑 Light"/>
                <w:color w:val="000000"/>
                <w:sz w:val="20"/>
                <w:szCs w:val="20"/>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76"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440" w:lineRule="exact"/>
              <w:jc w:val="center"/>
              <w:rPr>
                <w:rFonts w:hint="eastAsia" w:ascii="微软雅黑 Light" w:hAnsi="微软雅黑 Light" w:eastAsia="微软雅黑 Light"/>
                <w:color w:val="000000"/>
                <w:sz w:val="20"/>
                <w:szCs w:val="20"/>
                <w:lang w:eastAsia="zh-CN"/>
              </w:rPr>
            </w:pPr>
            <w:r>
              <w:rPr>
                <w:rFonts w:hint="eastAsia" w:ascii="微软雅黑 Light" w:hAnsi="微软雅黑 Light" w:eastAsia="微软雅黑 Light"/>
                <w:color w:val="000000"/>
                <w:sz w:val="20"/>
                <w:szCs w:val="20"/>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57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c>
          <w:tcPr>
            <w:tcW w:w="48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440" w:lineRule="exact"/>
              <w:jc w:val="center"/>
              <w:rPr>
                <w:rFonts w:hint="eastAsia" w:ascii="微软雅黑 Light" w:hAnsi="微软雅黑 Light" w:eastAsia="微软雅黑 Light"/>
                <w:color w:val="000000"/>
                <w:sz w:val="20"/>
                <w:szCs w:val="20"/>
              </w:rPr>
            </w:pPr>
            <w:r>
              <w:rPr>
                <w:rFonts w:hint="eastAsia" w:ascii="微软雅黑 Light" w:hAnsi="微软雅黑 Light" w:eastAsia="微软雅黑 Light"/>
                <w:color w:val="000000"/>
                <w:sz w:val="20"/>
                <w:szCs w:val="20"/>
              </w:rPr>
              <w:t>0</w:t>
            </w:r>
          </w:p>
        </w:tc>
      </w:tr>
    </w:tbl>
    <w:p>
      <w:pPr>
        <w:pStyle w:val="10"/>
        <w:widowControl/>
        <w:spacing w:before="0" w:beforeAutospacing="0" w:after="195" w:afterLines="30" w:afterAutospacing="0" w:line="560" w:lineRule="exact"/>
        <w:ind w:firstLine="632" w:firstLineChars="200"/>
        <w:jc w:val="both"/>
        <w:rPr>
          <w:rFonts w:hint="eastAsia" w:ascii="方正黑体_GBK" w:hAnsi="方正黑体_GBK" w:eastAsia="方正黑体_GBK" w:cs="方正黑体_GBK"/>
          <w:color w:val="000000"/>
          <w:sz w:val="32"/>
        </w:rPr>
      </w:pPr>
      <w:r>
        <w:rPr>
          <w:rFonts w:hint="eastAsia" w:ascii="方正黑体_GBK" w:hAnsi="方正黑体_GBK" w:eastAsia="方正黑体_GBK" w:cs="方正黑体_GBK"/>
          <w:color w:val="000000"/>
          <w:sz w:val="32"/>
        </w:rPr>
        <w:t>五、存在的主要问题及改进情况</w:t>
      </w:r>
    </w:p>
    <w:p>
      <w:pPr>
        <w:spacing w:line="560" w:lineRule="exact"/>
        <w:ind w:firstLine="632" w:firstLineChars="200"/>
        <w:rPr>
          <w:rFonts w:hint="eastAsia" w:ascii="仿宋_GB2312" w:hAnsi="仿宋_GB2312" w:eastAsia="仿宋_GB2312" w:cs="仿宋_GB2312"/>
          <w:color w:val="000000"/>
          <w:shd w:val="clear" w:color="auto" w:fill="FFFFFF"/>
        </w:rPr>
      </w:pPr>
      <w:r>
        <w:rPr>
          <w:rFonts w:hint="eastAsia" w:ascii="仿宋_GB2312" w:hAnsi="仿宋_GB2312" w:eastAsia="仿宋_GB2312" w:cs="仿宋_GB2312"/>
        </w:rPr>
        <w:t>202</w:t>
      </w:r>
      <w:r>
        <w:rPr>
          <w:rFonts w:hint="eastAsia" w:ascii="仿宋_GB2312" w:hAnsi="仿宋_GB2312" w:eastAsia="仿宋_GB2312" w:cs="仿宋_GB2312"/>
          <w:lang w:val="en-US" w:eastAsia="zh-CN"/>
        </w:rPr>
        <w:t>3</w:t>
      </w:r>
      <w:r>
        <w:rPr>
          <w:rFonts w:hint="eastAsia" w:ascii="仿宋_GB2312" w:hAnsi="仿宋_GB2312" w:eastAsia="仿宋_GB2312" w:cs="仿宋_GB2312"/>
        </w:rPr>
        <w:t>年，在</w:t>
      </w:r>
      <w:r>
        <w:rPr>
          <w:rFonts w:hint="eastAsia" w:ascii="仿宋_GB2312" w:hAnsi="仿宋_GB2312" w:eastAsia="仿宋_GB2312" w:cs="仿宋_GB2312"/>
          <w:color w:val="000000"/>
          <w:shd w:val="clear" w:color="auto" w:fill="FFFFFF"/>
        </w:rPr>
        <w:t>市政务公开领导小组办公室的指导下，市退役军人事务局政务公开工作取得了一定成绩，</w:t>
      </w:r>
      <w:r>
        <w:rPr>
          <w:rFonts w:hint="eastAsia" w:ascii="仿宋_GB2312" w:hAnsi="仿宋_GB2312" w:eastAsia="仿宋_GB2312" w:cs="仿宋_GB2312"/>
          <w:sz w:val="32"/>
          <w:szCs w:val="32"/>
          <w:lang w:eastAsia="zh-CN"/>
        </w:rPr>
        <w:t>但也</w:t>
      </w:r>
      <w:r>
        <w:rPr>
          <w:rFonts w:hint="eastAsia" w:ascii="仿宋_GB2312" w:hAnsi="仿宋_GB2312" w:eastAsia="仿宋_GB2312" w:cs="仿宋_GB2312"/>
          <w:sz w:val="32"/>
          <w:szCs w:val="32"/>
        </w:rPr>
        <w:t>存在</w:t>
      </w:r>
      <w:r>
        <w:rPr>
          <w:rFonts w:hint="eastAsia" w:ascii="仿宋_GB2312" w:hAnsi="仿宋_GB2312" w:eastAsia="仿宋_GB2312" w:cs="仿宋_GB2312"/>
          <w:sz w:val="32"/>
          <w:szCs w:val="32"/>
          <w:lang w:eastAsia="zh-CN"/>
        </w:rPr>
        <w:t>政府信息</w:t>
      </w:r>
      <w:r>
        <w:rPr>
          <w:rFonts w:hint="eastAsia" w:ascii="仿宋_GB2312" w:hAnsi="仿宋_GB2312" w:eastAsia="仿宋_GB2312" w:cs="仿宋_GB2312"/>
          <w:sz w:val="32"/>
          <w:szCs w:val="32"/>
        </w:rPr>
        <w:t>公开时效有待进一步提高，政府信息公开平台和工作队伍建设需进一步加强</w:t>
      </w:r>
      <w:r>
        <w:rPr>
          <w:rFonts w:hint="eastAsia" w:ascii="仿宋_GB2312" w:hAnsi="仿宋_GB2312" w:eastAsia="仿宋_GB2312" w:cs="仿宋_GB2312"/>
          <w:sz w:val="32"/>
          <w:szCs w:val="32"/>
          <w:lang w:eastAsia="zh-CN"/>
        </w:rPr>
        <w:t>等问题</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hd w:val="clear" w:color="auto" w:fill="FFFFFF"/>
        </w:rPr>
        <w:t>下一步，市退役军人事务局将</w:t>
      </w:r>
      <w:r>
        <w:rPr>
          <w:rFonts w:hint="eastAsia" w:ascii="仿宋_GB2312" w:hAnsi="仿宋_GB2312" w:eastAsia="仿宋_GB2312" w:cs="仿宋_GB2312"/>
          <w:color w:val="000000"/>
          <w:shd w:val="clear" w:color="auto" w:fill="FFFFFF"/>
          <w:lang w:eastAsia="zh-CN"/>
        </w:rPr>
        <w:t>严格落实</w:t>
      </w:r>
      <w:r>
        <w:rPr>
          <w:rFonts w:hint="eastAsia" w:ascii="仿宋_GB2312" w:hAnsi="仿宋_GB2312" w:eastAsia="仿宋_GB2312" w:cs="仿宋_GB2312"/>
          <w:color w:val="000000"/>
          <w:shd w:val="clear" w:color="auto" w:fill="FFFFFF"/>
        </w:rPr>
        <w:t>《政府信息公开条例》有关规定，聚焦</w:t>
      </w:r>
      <w:r>
        <w:rPr>
          <w:rFonts w:hint="eastAsia" w:ascii="仿宋_GB2312" w:hAnsi="仿宋_GB2312" w:eastAsia="仿宋_GB2312" w:cs="仿宋_GB2312"/>
          <w:color w:val="000000"/>
          <w:shd w:val="clear" w:color="auto" w:fill="FFFFFF"/>
          <w:lang w:eastAsia="zh-CN"/>
        </w:rPr>
        <w:t>退役军人安置</w:t>
      </w:r>
      <w:r>
        <w:rPr>
          <w:rFonts w:hint="eastAsia" w:ascii="仿宋_GB2312" w:hAnsi="仿宋_GB2312" w:eastAsia="仿宋_GB2312" w:cs="仿宋_GB2312"/>
          <w:color w:val="000000"/>
          <w:shd w:val="clear" w:color="auto" w:fill="FFFFFF"/>
        </w:rPr>
        <w:t>就业、抚恤优待、褒扬激励等方面</w:t>
      </w:r>
      <w:r>
        <w:rPr>
          <w:rFonts w:hint="eastAsia" w:ascii="仿宋_GB2312" w:hAnsi="仿宋_GB2312" w:eastAsia="仿宋_GB2312" w:cs="仿宋_GB2312"/>
          <w:color w:val="000000"/>
          <w:shd w:val="clear" w:color="auto" w:fill="FFFFFF"/>
          <w:lang w:eastAsia="zh-CN"/>
        </w:rPr>
        <w:t>，加大涉退役军人相关政策法规宣传力度，</w:t>
      </w:r>
      <w:r>
        <w:rPr>
          <w:rFonts w:hint="eastAsia" w:ascii="仿宋_GB2312" w:hAnsi="仿宋_GB2312" w:eastAsia="仿宋_GB2312" w:cs="仿宋_GB2312"/>
          <w:sz w:val="32"/>
          <w:szCs w:val="32"/>
          <w:lang w:eastAsia="zh-CN"/>
        </w:rPr>
        <w:t>持续</w:t>
      </w:r>
      <w:r>
        <w:rPr>
          <w:rFonts w:hint="eastAsia" w:ascii="仿宋_GB2312" w:hAnsi="仿宋_GB2312" w:eastAsia="仿宋_GB2312" w:cs="仿宋_GB2312"/>
          <w:color w:val="000000"/>
          <w:shd w:val="clear" w:color="auto" w:fill="FFFFFF"/>
          <w:lang w:eastAsia="zh-CN"/>
        </w:rPr>
        <w:t>推进</w:t>
      </w:r>
      <w:r>
        <w:rPr>
          <w:rFonts w:hint="eastAsia" w:ascii="仿宋_GB2312" w:hAnsi="仿宋_GB2312" w:eastAsia="仿宋_GB2312" w:cs="仿宋_GB2312"/>
          <w:color w:val="000000"/>
          <w:shd w:val="clear" w:color="auto" w:fill="FFFFFF"/>
        </w:rPr>
        <w:t>“互联网+退役军人”服务，</w:t>
      </w:r>
      <w:r>
        <w:rPr>
          <w:rFonts w:hint="eastAsia" w:ascii="仿宋_GB2312" w:hAnsi="仿宋_GB2312" w:eastAsia="仿宋_GB2312" w:cs="仿宋_GB2312"/>
          <w:color w:val="000000"/>
          <w:shd w:val="clear" w:color="auto" w:fill="FFFFFF"/>
          <w:lang w:eastAsia="zh-CN"/>
        </w:rPr>
        <w:t>不断加强和改进政府信息公开工作</w:t>
      </w:r>
      <w:r>
        <w:rPr>
          <w:rFonts w:hint="eastAsia" w:ascii="仿宋_GB2312" w:hAnsi="仿宋_GB2312" w:eastAsia="仿宋_GB2312" w:cs="仿宋_GB2312"/>
          <w:color w:val="000000"/>
          <w:shd w:val="clear" w:color="auto" w:fill="FFFFFF"/>
        </w:rPr>
        <w:t>。</w:t>
      </w:r>
    </w:p>
    <w:p>
      <w:pPr>
        <w:pStyle w:val="10"/>
        <w:widowControl/>
        <w:spacing w:before="0" w:beforeAutospacing="0" w:after="0" w:afterAutospacing="0" w:line="560" w:lineRule="exact"/>
        <w:ind w:firstLine="632" w:firstLineChars="200"/>
        <w:rPr>
          <w:rFonts w:hint="eastAsia" w:ascii="方正黑体_GBK" w:hAnsi="方正黑体_GBK" w:eastAsia="方正黑体_GBK" w:cs="方正黑体_GBK"/>
          <w:color w:val="000000"/>
          <w:sz w:val="32"/>
        </w:rPr>
      </w:pPr>
      <w:r>
        <w:rPr>
          <w:rFonts w:hint="eastAsia" w:ascii="方正黑体_GBK" w:hAnsi="方正黑体_GBK" w:eastAsia="方正黑体_GBK" w:cs="方正黑体_GBK"/>
          <w:color w:val="000000"/>
          <w:sz w:val="32"/>
        </w:rPr>
        <w:t>六、其他需要报告的事项</w:t>
      </w:r>
    </w:p>
    <w:p>
      <w:pPr>
        <w:spacing w:line="560" w:lineRule="exact"/>
        <w:ind w:firstLine="632" w:firstLineChars="200"/>
        <w:rPr>
          <w:rFonts w:hint="eastAsia" w:ascii="仿宋_GB2312" w:hAnsi="仿宋_GB2312" w:eastAsia="仿宋_GB2312" w:cs="仿宋_GB2312"/>
          <w:color w:val="000000"/>
          <w:shd w:val="clear" w:color="auto" w:fill="FFFFFF"/>
        </w:rPr>
      </w:pPr>
      <w:r>
        <w:rPr>
          <w:rFonts w:hint="eastAsia" w:ascii="仿宋_GB2312" w:hAnsi="仿宋_GB2312" w:eastAsia="仿宋_GB2312" w:cs="仿宋_GB2312"/>
          <w:color w:val="000000"/>
          <w:shd w:val="clear" w:color="auto" w:fill="FFFFFF"/>
        </w:rPr>
        <w:t xml:space="preserve">发出收费通知的件数和总金额以及实际收取的总金额均为0。北京市退役军人事务局政府门户网站网址 </w:t>
      </w:r>
      <w:r>
        <w:rPr>
          <w:rFonts w:hint="eastAsia" w:ascii="仿宋_GB2312" w:hAnsi="仿宋_GB2312" w:eastAsia="仿宋_GB2312" w:cs="仿宋_GB2312"/>
          <w:color w:val="000000"/>
          <w:shd w:val="clear" w:color="auto" w:fill="FFFFFF"/>
        </w:rPr>
        <w:fldChar w:fldCharType="begin"/>
      </w:r>
      <w:r>
        <w:rPr>
          <w:rFonts w:hint="eastAsia" w:ascii="仿宋_GB2312" w:hAnsi="仿宋_GB2312" w:eastAsia="仿宋_GB2312" w:cs="仿宋_GB2312"/>
          <w:color w:val="000000"/>
          <w:shd w:val="clear" w:color="auto" w:fill="FFFFFF"/>
        </w:rPr>
        <w:instrText xml:space="preserve"> HYPERLINK "https://tyjrswj.beijing.gov.cn，如需了解更多政府信息，请登录查询。" </w:instrText>
      </w:r>
      <w:r>
        <w:rPr>
          <w:rFonts w:hint="eastAsia" w:ascii="仿宋_GB2312" w:hAnsi="仿宋_GB2312" w:eastAsia="仿宋_GB2312" w:cs="仿宋_GB2312"/>
          <w:color w:val="000000"/>
          <w:shd w:val="clear" w:color="auto" w:fill="FFFFFF"/>
        </w:rPr>
        <w:fldChar w:fldCharType="separate"/>
      </w:r>
      <w:r>
        <w:rPr>
          <w:rStyle w:val="15"/>
          <w:rFonts w:hint="eastAsia" w:ascii="仿宋_GB2312" w:hAnsi="仿宋_GB2312" w:eastAsia="仿宋_GB2312" w:cs="仿宋_GB2312"/>
          <w:color w:val="000000"/>
          <w:shd w:val="clear" w:color="auto" w:fill="FFFFFF"/>
        </w:rPr>
        <w:t>https://tyjrswj.beijing.gov.cn，如需了解更多政府信息，请登录查询。</w:t>
      </w:r>
      <w:r>
        <w:rPr>
          <w:rFonts w:hint="eastAsia" w:ascii="仿宋_GB2312" w:hAnsi="仿宋_GB2312" w:eastAsia="仿宋_GB2312" w:cs="仿宋_GB2312"/>
          <w:color w:val="000000"/>
          <w:shd w:val="clear" w:color="auto" w:fill="FFFFFF"/>
        </w:rPr>
        <w:fldChar w:fldCharType="end"/>
      </w:r>
    </w:p>
    <w:p>
      <w:pPr>
        <w:pStyle w:val="2"/>
        <w:rPr>
          <w:rFonts w:hint="eastAsia"/>
        </w:rPr>
      </w:pPr>
    </w:p>
    <w:p>
      <w:pPr>
        <w:pStyle w:val="2"/>
        <w:rPr>
          <w:rFonts w:hint="eastAsia"/>
        </w:rPr>
      </w:pPr>
    </w:p>
    <w:p>
      <w:pPr>
        <w:pStyle w:val="2"/>
        <w:rPr>
          <w:rFonts w:hint="eastAsia"/>
        </w:rPr>
      </w:pPr>
    </w:p>
    <w:p>
      <w:pPr>
        <w:pStyle w:val="2"/>
        <w:rPr>
          <w:rFonts w:hint="eastAsia" w:ascii="仿宋_GB2312" w:hAnsi="仿宋_GB2312" w:eastAsia="仿宋_GB2312" w:cs="仿宋_GB2312"/>
          <w:color w:val="000000"/>
          <w:kern w:val="2"/>
          <w:sz w:val="32"/>
          <w:szCs w:val="32"/>
          <w:shd w:val="clear" w:color="auto" w:fill="FFFFFF"/>
          <w:lang w:val="en-US" w:eastAsia="zh-CN" w:bidi="ar-SA"/>
        </w:rPr>
      </w:pPr>
    </w:p>
    <w:p>
      <w:pPr>
        <w:pStyle w:val="2"/>
        <w:jc w:val="right"/>
        <w:rPr>
          <w:rFonts w:hint="eastAsia" w:ascii="仿宋_GB2312" w:hAnsi="仿宋_GB2312" w:eastAsia="仿宋_GB2312" w:cs="仿宋_GB2312"/>
          <w:color w:val="000000"/>
          <w:kern w:val="2"/>
          <w:sz w:val="32"/>
          <w:szCs w:val="32"/>
          <w:shd w:val="clear" w:color="auto" w:fill="FFFFFF"/>
          <w:lang w:val="en-US" w:eastAsia="zh-CN" w:bidi="ar-SA"/>
        </w:rPr>
      </w:pPr>
      <w:r>
        <w:rPr>
          <w:rFonts w:hint="eastAsia" w:ascii="仿宋_GB2312" w:hAnsi="仿宋_GB2312" w:eastAsia="仿宋_GB2312" w:cs="仿宋_GB2312"/>
          <w:color w:val="000000"/>
          <w:kern w:val="2"/>
          <w:sz w:val="32"/>
          <w:szCs w:val="32"/>
          <w:shd w:val="clear" w:color="auto" w:fill="FFFFFF"/>
          <w:lang w:val="en-US" w:eastAsia="zh-CN" w:bidi="ar-SA"/>
        </w:rPr>
        <w:t>北京市退役军人事务局</w:t>
      </w:r>
    </w:p>
    <w:p>
      <w:pPr>
        <w:pStyle w:val="2"/>
        <w:jc w:val="center"/>
        <w:rPr>
          <w:rFonts w:hint="default" w:ascii="仿宋_GB2312" w:hAnsi="仿宋_GB2312" w:eastAsia="仿宋_GB2312" w:cs="仿宋_GB2312"/>
          <w:color w:val="000000"/>
          <w:kern w:val="2"/>
          <w:sz w:val="32"/>
          <w:szCs w:val="32"/>
          <w:shd w:val="clear" w:color="auto" w:fill="FFFFFF"/>
          <w:lang w:val="en-US" w:eastAsia="zh-CN" w:bidi="ar-SA"/>
        </w:rPr>
      </w:pPr>
      <w:r>
        <w:rPr>
          <w:rFonts w:hint="eastAsia" w:ascii="仿宋_GB2312" w:hAnsi="仿宋_GB2312" w:eastAsia="仿宋_GB2312" w:cs="仿宋_GB2312"/>
          <w:color w:val="000000"/>
          <w:kern w:val="2"/>
          <w:sz w:val="32"/>
          <w:szCs w:val="32"/>
          <w:shd w:val="clear" w:color="auto" w:fill="FFFFFF"/>
          <w:lang w:val="en-US" w:eastAsia="zh-CN" w:bidi="ar-SA"/>
        </w:rPr>
        <w:t xml:space="preserve">                                     </w:t>
      </w:r>
      <w:bookmarkStart w:id="0" w:name="_GoBack"/>
      <w:bookmarkEnd w:id="0"/>
      <w:r>
        <w:rPr>
          <w:rFonts w:hint="eastAsia" w:ascii="仿宋_GB2312" w:hAnsi="仿宋_GB2312" w:eastAsia="仿宋_GB2312" w:cs="仿宋_GB2312"/>
          <w:color w:val="000000"/>
          <w:kern w:val="2"/>
          <w:sz w:val="32"/>
          <w:szCs w:val="32"/>
          <w:shd w:val="clear" w:color="auto" w:fill="FFFFFF"/>
          <w:lang w:val="en-US" w:eastAsia="zh-CN" w:bidi="ar-SA"/>
        </w:rPr>
        <w:t>2024年1月3日</w:t>
      </w:r>
    </w:p>
    <w:sectPr>
      <w:footerReference r:id="rId3" w:type="default"/>
      <w:footerReference r:id="rId4" w:type="even"/>
      <w:type w:val="oddPage"/>
      <w:pgSz w:w="11906" w:h="16838"/>
      <w:pgMar w:top="2098" w:right="1474" w:bottom="1701" w:left="1588" w:header="851" w:footer="902" w:gutter="0"/>
      <w:cols w:space="720" w:num="1"/>
      <w:titlePg/>
      <w:docGrid w:type="linesAndChars" w:linePitch="65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2010600030101010101"/>
    <w:charset w:val="86"/>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中等线简体">
    <w:altName w:val="汉仪中宋简"/>
    <w:panose1 w:val="02010601030101010101"/>
    <w:charset w:val="00"/>
    <w:family w:val="auto"/>
    <w:pitch w:val="default"/>
    <w:sig w:usb0="00000000" w:usb1="00000000" w:usb2="00000010" w:usb3="00000000" w:csb0="00040000" w:csb1="00000000"/>
  </w:font>
  <w:font w:name="汉仪中宋简">
    <w:panose1 w:val="02010600000101010101"/>
    <w:charset w:val="86"/>
    <w:family w:val="auto"/>
    <w:pitch w:val="default"/>
    <w:sig w:usb0="00000001" w:usb1="080E0800" w:usb2="00000002" w:usb3="00000000" w:csb0="00040000" w:csb1="00000000"/>
  </w:font>
  <w:font w:name="Verdana">
    <w:altName w:val="DejaVu Sans"/>
    <w:panose1 w:val="020B0604030504040204"/>
    <w:charset w:val="00"/>
    <w:family w:val="swiss"/>
    <w:pitch w:val="default"/>
    <w:sig w:usb0="00000000" w:usb1="00000000" w:usb2="00000010"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Light">
    <w:altName w:val="方正黑体_GBK"/>
    <w:panose1 w:val="020B0502040204020203"/>
    <w:charset w:val="00"/>
    <w:family w:val="swiss"/>
    <w:pitch w:val="default"/>
    <w:sig w:usb0="00000000" w:usb1="00000000" w:usb2="00000016" w:usb3="00000000" w:csb0="0004001F" w:csb1="00000000"/>
  </w:font>
  <w:font w:name="楷体">
    <w:altName w:val="方正楷体_GBK"/>
    <w:panose1 w:val="02010609060101010101"/>
    <w:charset w:val="00"/>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DotumChe">
    <w:altName w:val="DejaVu Math TeX Gyre"/>
    <w:panose1 w:val="00000000000000000000"/>
    <w:charset w:val="00"/>
    <w:family w:val="modern"/>
    <w:pitch w:val="default"/>
    <w:sig w:usb0="00000000" w:usb1="00000000" w:usb2="00000030" w:usb3="00000000" w:csb0="0008009F"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6855"/>
        <w:tab w:val="right" w:pos="8614"/>
      </w:tabs>
      <w:wordWrap w:val="0"/>
      <w:snapToGrid/>
      <w:ind w:right="232"/>
      <w:jc w:val="right"/>
      <w:rPr>
        <w:rStyle w:val="13"/>
        <w:rFonts w:hint="eastAsia" w:ascii="宋体" w:hAnsi="宋体"/>
        <w:w w:val="150"/>
        <w:position w:val="-6"/>
        <w:sz w:val="10"/>
        <w:szCs w:val="10"/>
      </w:rPr>
    </w:pPr>
    <w:r>
      <w:rPr>
        <w:rStyle w:val="13"/>
        <w:rFonts w:ascii="DotumChe" w:hAnsi="DotumChe" w:eastAsia="DotumChe"/>
        <w:w w:val="150"/>
        <w:position w:val="-6"/>
        <w:sz w:val="28"/>
        <w:szCs w:val="28"/>
      </w:rPr>
      <w:tab/>
    </w:r>
    <w:r>
      <w:rPr>
        <w:rStyle w:val="13"/>
        <w:rFonts w:ascii="DotumChe" w:hAnsi="DotumChe" w:eastAsia="DotumChe"/>
        <w:w w:val="150"/>
        <w:position w:val="-6"/>
        <w:sz w:val="28"/>
        <w:szCs w:val="28"/>
      </w:rPr>
      <w:tab/>
    </w:r>
  </w:p>
  <w:p>
    <w:pPr>
      <w:pStyle w:val="7"/>
      <w:tabs>
        <w:tab w:val="left" w:pos="6855"/>
        <w:tab w:val="right" w:pos="8614"/>
      </w:tabs>
      <w:snapToGrid/>
      <w:ind w:right="232"/>
      <w:jc w:val="center"/>
      <w:rPr>
        <w:rFonts w:hint="eastAsia" w:ascii="宋体" w:hAnsi="宋体"/>
        <w:w w:val="150"/>
        <w:sz w:val="28"/>
        <w:szCs w:val="28"/>
      </w:rPr>
    </w:pPr>
    <w:r>
      <w:rPr>
        <w:rFonts w:ascii="宋体" w:hAnsi="宋体"/>
        <w:w w:val="200"/>
        <w:sz w:val="28"/>
        <w:szCs w:val="28"/>
      </w:rPr>
      <w:t>-</w:t>
    </w:r>
    <w:r>
      <w:rPr>
        <w:rFonts w:ascii="宋体" w:hAnsi="宋体"/>
        <w:w w:val="150"/>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w w:val="150"/>
        <w:sz w:val="28"/>
        <w:szCs w:val="28"/>
      </w:rPr>
      <w:t xml:space="preserve"> </w:t>
    </w:r>
    <w:r>
      <w:rPr>
        <w:rFonts w:ascii="宋体" w:hAnsi="宋体"/>
        <w:w w:val="20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宋体" w:hAnsi="宋体"/>
        <w:w w:val="150"/>
        <w:sz w:val="10"/>
        <w:szCs w:val="10"/>
      </w:rPr>
    </w:pPr>
  </w:p>
  <w:p>
    <w:pPr>
      <w:pStyle w:val="7"/>
      <w:ind w:firstLine="280" w:firstLineChars="50"/>
      <w:jc w:val="center"/>
      <w:rPr>
        <w:rFonts w:hint="eastAsia" w:ascii="宋体" w:hAnsi="宋体"/>
        <w:w w:val="150"/>
        <w:sz w:val="28"/>
        <w:szCs w:val="28"/>
      </w:rPr>
    </w:pPr>
    <w:r>
      <w:rPr>
        <w:rFonts w:ascii="宋体" w:hAnsi="宋体"/>
        <w:w w:val="200"/>
        <w:sz w:val="28"/>
        <w:szCs w:val="28"/>
      </w:rPr>
      <w:t>-</w:t>
    </w:r>
    <w:r>
      <w:rPr>
        <w:rFonts w:ascii="宋体" w:hAnsi="宋体"/>
        <w:w w:val="150"/>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w w:val="150"/>
        <w:sz w:val="28"/>
        <w:szCs w:val="28"/>
      </w:rPr>
      <w:t xml:space="preserve"> </w:t>
    </w:r>
    <w:r>
      <w:rPr>
        <w:rFonts w:ascii="宋体" w:hAnsi="宋体"/>
        <w:w w:val="20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32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F8"/>
    <w:rsid w:val="00000151"/>
    <w:rsid w:val="0001307B"/>
    <w:rsid w:val="00031A20"/>
    <w:rsid w:val="00033698"/>
    <w:rsid w:val="000439F8"/>
    <w:rsid w:val="00052A4A"/>
    <w:rsid w:val="00093203"/>
    <w:rsid w:val="001075B0"/>
    <w:rsid w:val="00153809"/>
    <w:rsid w:val="001835B8"/>
    <w:rsid w:val="001955D6"/>
    <w:rsid w:val="00196BFD"/>
    <w:rsid w:val="001A1626"/>
    <w:rsid w:val="001A4DD4"/>
    <w:rsid w:val="001C7481"/>
    <w:rsid w:val="001E6178"/>
    <w:rsid w:val="00212479"/>
    <w:rsid w:val="00223F63"/>
    <w:rsid w:val="00286B1D"/>
    <w:rsid w:val="0028736D"/>
    <w:rsid w:val="002F0517"/>
    <w:rsid w:val="0030098A"/>
    <w:rsid w:val="00317370"/>
    <w:rsid w:val="00323849"/>
    <w:rsid w:val="00337497"/>
    <w:rsid w:val="00350BB7"/>
    <w:rsid w:val="003A12F6"/>
    <w:rsid w:val="003E1216"/>
    <w:rsid w:val="00421E00"/>
    <w:rsid w:val="004244EC"/>
    <w:rsid w:val="0044603C"/>
    <w:rsid w:val="004707DF"/>
    <w:rsid w:val="00473013"/>
    <w:rsid w:val="004869C4"/>
    <w:rsid w:val="004C0CD0"/>
    <w:rsid w:val="004D45C0"/>
    <w:rsid w:val="004E3B7D"/>
    <w:rsid w:val="004E3FD1"/>
    <w:rsid w:val="00503D4E"/>
    <w:rsid w:val="00535E48"/>
    <w:rsid w:val="005371EA"/>
    <w:rsid w:val="00564EFC"/>
    <w:rsid w:val="00667767"/>
    <w:rsid w:val="00670849"/>
    <w:rsid w:val="00694DD7"/>
    <w:rsid w:val="006A488A"/>
    <w:rsid w:val="006A6AA5"/>
    <w:rsid w:val="006C69C8"/>
    <w:rsid w:val="006D38DE"/>
    <w:rsid w:val="00700CCC"/>
    <w:rsid w:val="0072488C"/>
    <w:rsid w:val="0073168F"/>
    <w:rsid w:val="0073189D"/>
    <w:rsid w:val="0073760A"/>
    <w:rsid w:val="00742E84"/>
    <w:rsid w:val="00752957"/>
    <w:rsid w:val="00782653"/>
    <w:rsid w:val="0078390B"/>
    <w:rsid w:val="00792118"/>
    <w:rsid w:val="007A1B6D"/>
    <w:rsid w:val="007B1C0A"/>
    <w:rsid w:val="007C6699"/>
    <w:rsid w:val="007F65DD"/>
    <w:rsid w:val="0084782F"/>
    <w:rsid w:val="00854EB9"/>
    <w:rsid w:val="00864F00"/>
    <w:rsid w:val="00872315"/>
    <w:rsid w:val="008867CD"/>
    <w:rsid w:val="00890854"/>
    <w:rsid w:val="00891CFB"/>
    <w:rsid w:val="008943A3"/>
    <w:rsid w:val="008A67D9"/>
    <w:rsid w:val="008B5ED9"/>
    <w:rsid w:val="008C4D51"/>
    <w:rsid w:val="008D5EE0"/>
    <w:rsid w:val="008E5893"/>
    <w:rsid w:val="008E5FD6"/>
    <w:rsid w:val="008F4480"/>
    <w:rsid w:val="00931677"/>
    <w:rsid w:val="009778A4"/>
    <w:rsid w:val="00983BD6"/>
    <w:rsid w:val="00994C7B"/>
    <w:rsid w:val="009C4D9F"/>
    <w:rsid w:val="009D3703"/>
    <w:rsid w:val="009D7087"/>
    <w:rsid w:val="00A11FB8"/>
    <w:rsid w:val="00A12DE4"/>
    <w:rsid w:val="00A210FB"/>
    <w:rsid w:val="00A25BF3"/>
    <w:rsid w:val="00A4248F"/>
    <w:rsid w:val="00A73D59"/>
    <w:rsid w:val="00A816C6"/>
    <w:rsid w:val="00A923AD"/>
    <w:rsid w:val="00A92FE9"/>
    <w:rsid w:val="00A971AB"/>
    <w:rsid w:val="00AA2198"/>
    <w:rsid w:val="00B17F7D"/>
    <w:rsid w:val="00B52A64"/>
    <w:rsid w:val="00B65ED4"/>
    <w:rsid w:val="00B661C9"/>
    <w:rsid w:val="00B7205D"/>
    <w:rsid w:val="00B72C60"/>
    <w:rsid w:val="00B82450"/>
    <w:rsid w:val="00B9475A"/>
    <w:rsid w:val="00BC0079"/>
    <w:rsid w:val="00BD2387"/>
    <w:rsid w:val="00BF6C34"/>
    <w:rsid w:val="00C03880"/>
    <w:rsid w:val="00C06720"/>
    <w:rsid w:val="00C11915"/>
    <w:rsid w:val="00C14A06"/>
    <w:rsid w:val="00C26CC0"/>
    <w:rsid w:val="00C37B4E"/>
    <w:rsid w:val="00C50D57"/>
    <w:rsid w:val="00C51D64"/>
    <w:rsid w:val="00C80B9E"/>
    <w:rsid w:val="00C9389D"/>
    <w:rsid w:val="00C9429C"/>
    <w:rsid w:val="00CA6BE5"/>
    <w:rsid w:val="00CB33DD"/>
    <w:rsid w:val="00D1088D"/>
    <w:rsid w:val="00D21A32"/>
    <w:rsid w:val="00D41997"/>
    <w:rsid w:val="00D43B1D"/>
    <w:rsid w:val="00D80BF2"/>
    <w:rsid w:val="00D85A79"/>
    <w:rsid w:val="00DA28E3"/>
    <w:rsid w:val="00DB2496"/>
    <w:rsid w:val="00DE2A0B"/>
    <w:rsid w:val="00E137F4"/>
    <w:rsid w:val="00E43E07"/>
    <w:rsid w:val="00E56BEC"/>
    <w:rsid w:val="00E602B5"/>
    <w:rsid w:val="00E71C13"/>
    <w:rsid w:val="00ED004D"/>
    <w:rsid w:val="00EE2F66"/>
    <w:rsid w:val="00F02FC3"/>
    <w:rsid w:val="00F2233E"/>
    <w:rsid w:val="00F321FF"/>
    <w:rsid w:val="00F66636"/>
    <w:rsid w:val="00FC6AD2"/>
    <w:rsid w:val="027716AA"/>
    <w:rsid w:val="027F4E32"/>
    <w:rsid w:val="03D39836"/>
    <w:rsid w:val="046C02A4"/>
    <w:rsid w:val="08BE2260"/>
    <w:rsid w:val="09BD6B71"/>
    <w:rsid w:val="09EE3F60"/>
    <w:rsid w:val="0B062E0C"/>
    <w:rsid w:val="0BABF2A9"/>
    <w:rsid w:val="0F707B60"/>
    <w:rsid w:val="0F7ED67F"/>
    <w:rsid w:val="0FAB3764"/>
    <w:rsid w:val="0FAE3E42"/>
    <w:rsid w:val="108A72D1"/>
    <w:rsid w:val="12663B07"/>
    <w:rsid w:val="130E7A0F"/>
    <w:rsid w:val="133EC0F1"/>
    <w:rsid w:val="154C57DA"/>
    <w:rsid w:val="15C550C0"/>
    <w:rsid w:val="15E52DFB"/>
    <w:rsid w:val="17FE3C45"/>
    <w:rsid w:val="18B908CA"/>
    <w:rsid w:val="18BD69F5"/>
    <w:rsid w:val="1AEA3C62"/>
    <w:rsid w:val="1AFCF8F9"/>
    <w:rsid w:val="1AFFDB7A"/>
    <w:rsid w:val="1BBF1966"/>
    <w:rsid w:val="1BDECBC5"/>
    <w:rsid w:val="1BEF35E9"/>
    <w:rsid w:val="1CB7471F"/>
    <w:rsid w:val="1CC806C8"/>
    <w:rsid w:val="1DB338F4"/>
    <w:rsid w:val="1DFCDD3A"/>
    <w:rsid w:val="1E535C5B"/>
    <w:rsid w:val="1EEF364D"/>
    <w:rsid w:val="1EF7FE07"/>
    <w:rsid w:val="1EFDFB01"/>
    <w:rsid w:val="1F213A59"/>
    <w:rsid w:val="1F9A9C96"/>
    <w:rsid w:val="1FBDC6C4"/>
    <w:rsid w:val="1FBFFC3A"/>
    <w:rsid w:val="1FC75722"/>
    <w:rsid w:val="1FC941A0"/>
    <w:rsid w:val="201DACBB"/>
    <w:rsid w:val="20680678"/>
    <w:rsid w:val="21A50D9D"/>
    <w:rsid w:val="251F063D"/>
    <w:rsid w:val="25F25030"/>
    <w:rsid w:val="273DD0E1"/>
    <w:rsid w:val="27EFE305"/>
    <w:rsid w:val="27FA33F1"/>
    <w:rsid w:val="290940A5"/>
    <w:rsid w:val="2A995A16"/>
    <w:rsid w:val="2AF9EF7E"/>
    <w:rsid w:val="2AFF1E0D"/>
    <w:rsid w:val="2AFF91ED"/>
    <w:rsid w:val="2AFFBA90"/>
    <w:rsid w:val="2B022913"/>
    <w:rsid w:val="2D77799B"/>
    <w:rsid w:val="2DBE6421"/>
    <w:rsid w:val="2DCFC15C"/>
    <w:rsid w:val="2E7ED028"/>
    <w:rsid w:val="2E99EA5F"/>
    <w:rsid w:val="2F7D35E9"/>
    <w:rsid w:val="300A10B7"/>
    <w:rsid w:val="30666F9C"/>
    <w:rsid w:val="327FA9E0"/>
    <w:rsid w:val="337DC5DC"/>
    <w:rsid w:val="33BDD049"/>
    <w:rsid w:val="33DC767A"/>
    <w:rsid w:val="35B990C9"/>
    <w:rsid w:val="36182A7D"/>
    <w:rsid w:val="36795091"/>
    <w:rsid w:val="3771DFF6"/>
    <w:rsid w:val="377F6659"/>
    <w:rsid w:val="37B7C778"/>
    <w:rsid w:val="37E189A2"/>
    <w:rsid w:val="38BF0FDC"/>
    <w:rsid w:val="39500674"/>
    <w:rsid w:val="396DBD29"/>
    <w:rsid w:val="3A07610F"/>
    <w:rsid w:val="3A5B7E7E"/>
    <w:rsid w:val="3A9D3A17"/>
    <w:rsid w:val="3AFB496C"/>
    <w:rsid w:val="3AFF3183"/>
    <w:rsid w:val="3B5F5F32"/>
    <w:rsid w:val="3B602490"/>
    <w:rsid w:val="3B8A46BC"/>
    <w:rsid w:val="3B9F0611"/>
    <w:rsid w:val="3BBF7970"/>
    <w:rsid w:val="3BD621A5"/>
    <w:rsid w:val="3BDF7D7C"/>
    <w:rsid w:val="3BF3B6FF"/>
    <w:rsid w:val="3BFFF44D"/>
    <w:rsid w:val="3C7684BA"/>
    <w:rsid w:val="3CE5DEFB"/>
    <w:rsid w:val="3CE72F80"/>
    <w:rsid w:val="3D3FF854"/>
    <w:rsid w:val="3D6EF432"/>
    <w:rsid w:val="3D7FE318"/>
    <w:rsid w:val="3E73E737"/>
    <w:rsid w:val="3E9B81E5"/>
    <w:rsid w:val="3E9BB621"/>
    <w:rsid w:val="3ECFEE22"/>
    <w:rsid w:val="3ED933AA"/>
    <w:rsid w:val="3EDDB097"/>
    <w:rsid w:val="3EE83AD5"/>
    <w:rsid w:val="3EF394A0"/>
    <w:rsid w:val="3EFB4823"/>
    <w:rsid w:val="3EFD9FB7"/>
    <w:rsid w:val="3EFDC01C"/>
    <w:rsid w:val="3F8D9FC0"/>
    <w:rsid w:val="3FAD5231"/>
    <w:rsid w:val="3FAFACA9"/>
    <w:rsid w:val="3FB3D3E9"/>
    <w:rsid w:val="3FBA5FF9"/>
    <w:rsid w:val="3FBBC168"/>
    <w:rsid w:val="3FBBF5FE"/>
    <w:rsid w:val="3FBF5C03"/>
    <w:rsid w:val="3FEDE3FD"/>
    <w:rsid w:val="3FEE150F"/>
    <w:rsid w:val="3FF5F5C1"/>
    <w:rsid w:val="3FFE8BBE"/>
    <w:rsid w:val="3FFF2A86"/>
    <w:rsid w:val="3FFF48C3"/>
    <w:rsid w:val="3FFF9C15"/>
    <w:rsid w:val="400843F5"/>
    <w:rsid w:val="420B4CA2"/>
    <w:rsid w:val="42C7B227"/>
    <w:rsid w:val="42FF858B"/>
    <w:rsid w:val="434DEEFF"/>
    <w:rsid w:val="44CA6E83"/>
    <w:rsid w:val="45F7FE6E"/>
    <w:rsid w:val="46F9D137"/>
    <w:rsid w:val="47FF84A7"/>
    <w:rsid w:val="48FFECCD"/>
    <w:rsid w:val="49787041"/>
    <w:rsid w:val="4AAE605C"/>
    <w:rsid w:val="4AFCF89D"/>
    <w:rsid w:val="4B06796A"/>
    <w:rsid w:val="4BBEED3C"/>
    <w:rsid w:val="4BF957F3"/>
    <w:rsid w:val="4C727B43"/>
    <w:rsid w:val="4D7F1DD9"/>
    <w:rsid w:val="4D9EBCE5"/>
    <w:rsid w:val="4DFB5CB0"/>
    <w:rsid w:val="4DFFB1B1"/>
    <w:rsid w:val="4E31CF71"/>
    <w:rsid w:val="4E5FCB26"/>
    <w:rsid w:val="4EF66679"/>
    <w:rsid w:val="4FAF7FE9"/>
    <w:rsid w:val="4FEF5F67"/>
    <w:rsid w:val="4FF7E1BF"/>
    <w:rsid w:val="512F2AAE"/>
    <w:rsid w:val="529DEBB4"/>
    <w:rsid w:val="54C03689"/>
    <w:rsid w:val="55E74866"/>
    <w:rsid w:val="56124A36"/>
    <w:rsid w:val="56BFB585"/>
    <w:rsid w:val="56EE5DDF"/>
    <w:rsid w:val="56FFEF12"/>
    <w:rsid w:val="570B03CF"/>
    <w:rsid w:val="57E71298"/>
    <w:rsid w:val="57F5BC09"/>
    <w:rsid w:val="57FD2B9A"/>
    <w:rsid w:val="57FF73FD"/>
    <w:rsid w:val="57FF8C42"/>
    <w:rsid w:val="582F08E6"/>
    <w:rsid w:val="5A57ABE7"/>
    <w:rsid w:val="5ACF7D3F"/>
    <w:rsid w:val="5AF48388"/>
    <w:rsid w:val="5AFFDB41"/>
    <w:rsid w:val="5B730B8E"/>
    <w:rsid w:val="5BB67E48"/>
    <w:rsid w:val="5BDFE96E"/>
    <w:rsid w:val="5BE645D5"/>
    <w:rsid w:val="5BEED749"/>
    <w:rsid w:val="5BF776D2"/>
    <w:rsid w:val="5BFB85F1"/>
    <w:rsid w:val="5BFC9AAA"/>
    <w:rsid w:val="5CEB599A"/>
    <w:rsid w:val="5CFE0C83"/>
    <w:rsid w:val="5CFE751D"/>
    <w:rsid w:val="5D53675A"/>
    <w:rsid w:val="5D562283"/>
    <w:rsid w:val="5D9768A4"/>
    <w:rsid w:val="5DB73CF0"/>
    <w:rsid w:val="5DB76246"/>
    <w:rsid w:val="5DDDD93A"/>
    <w:rsid w:val="5DF8FA52"/>
    <w:rsid w:val="5DFB25F1"/>
    <w:rsid w:val="5DFBA4AB"/>
    <w:rsid w:val="5E770BF3"/>
    <w:rsid w:val="5EA3839D"/>
    <w:rsid w:val="5EB7ECFE"/>
    <w:rsid w:val="5EDEAED3"/>
    <w:rsid w:val="5EF60E10"/>
    <w:rsid w:val="5EFFACBA"/>
    <w:rsid w:val="5F3FA619"/>
    <w:rsid w:val="5F42C73C"/>
    <w:rsid w:val="5F5DA068"/>
    <w:rsid w:val="5F79AE49"/>
    <w:rsid w:val="5F7F1A40"/>
    <w:rsid w:val="5F7F3761"/>
    <w:rsid w:val="5FBEC3C5"/>
    <w:rsid w:val="5FBFF65C"/>
    <w:rsid w:val="5FD71EB8"/>
    <w:rsid w:val="5FDD4655"/>
    <w:rsid w:val="5FEB64A7"/>
    <w:rsid w:val="5FF6A35B"/>
    <w:rsid w:val="5FF7BC17"/>
    <w:rsid w:val="5FF7D993"/>
    <w:rsid w:val="5FFF1894"/>
    <w:rsid w:val="5FFF3026"/>
    <w:rsid w:val="5FFF8951"/>
    <w:rsid w:val="5FFF8C13"/>
    <w:rsid w:val="604A2121"/>
    <w:rsid w:val="60FFDB8C"/>
    <w:rsid w:val="61D57950"/>
    <w:rsid w:val="62CFD82C"/>
    <w:rsid w:val="62E00CAF"/>
    <w:rsid w:val="63F69F22"/>
    <w:rsid w:val="64DF7BBE"/>
    <w:rsid w:val="64F34B88"/>
    <w:rsid w:val="66611599"/>
    <w:rsid w:val="673E48CC"/>
    <w:rsid w:val="676EAAFC"/>
    <w:rsid w:val="677249C4"/>
    <w:rsid w:val="6776AF04"/>
    <w:rsid w:val="677F538C"/>
    <w:rsid w:val="67FBB277"/>
    <w:rsid w:val="6B1F46FA"/>
    <w:rsid w:val="6B7E72E7"/>
    <w:rsid w:val="6B7E76AE"/>
    <w:rsid w:val="6B877E9E"/>
    <w:rsid w:val="6B8DA6EF"/>
    <w:rsid w:val="6B8E435C"/>
    <w:rsid w:val="6BAFEE3D"/>
    <w:rsid w:val="6BCF09EF"/>
    <w:rsid w:val="6BE16315"/>
    <w:rsid w:val="6BED1824"/>
    <w:rsid w:val="6BF99078"/>
    <w:rsid w:val="6BFE6347"/>
    <w:rsid w:val="6CEF6023"/>
    <w:rsid w:val="6D592432"/>
    <w:rsid w:val="6D5FC887"/>
    <w:rsid w:val="6D9EE287"/>
    <w:rsid w:val="6DCB8491"/>
    <w:rsid w:val="6DE98CA6"/>
    <w:rsid w:val="6DF6E274"/>
    <w:rsid w:val="6DFB040E"/>
    <w:rsid w:val="6DFF1E2B"/>
    <w:rsid w:val="6E7F4D1F"/>
    <w:rsid w:val="6EB97055"/>
    <w:rsid w:val="6EBF5EBF"/>
    <w:rsid w:val="6EFC8680"/>
    <w:rsid w:val="6F3D09E1"/>
    <w:rsid w:val="6F5CE354"/>
    <w:rsid w:val="6F5DAF71"/>
    <w:rsid w:val="6F764FA2"/>
    <w:rsid w:val="6F7FD813"/>
    <w:rsid w:val="6F97EE63"/>
    <w:rsid w:val="6FA9EF74"/>
    <w:rsid w:val="6FB7CB60"/>
    <w:rsid w:val="6FBC02A7"/>
    <w:rsid w:val="6FBFB7D0"/>
    <w:rsid w:val="6FEB105C"/>
    <w:rsid w:val="6FEF176A"/>
    <w:rsid w:val="6FF6221D"/>
    <w:rsid w:val="6FFEB6CB"/>
    <w:rsid w:val="6FFF8D69"/>
    <w:rsid w:val="70AD3106"/>
    <w:rsid w:val="71D701B5"/>
    <w:rsid w:val="71EE568C"/>
    <w:rsid w:val="71FF08A8"/>
    <w:rsid w:val="72BFD064"/>
    <w:rsid w:val="72F7F305"/>
    <w:rsid w:val="72FB7CEB"/>
    <w:rsid w:val="73086880"/>
    <w:rsid w:val="737DFB99"/>
    <w:rsid w:val="739A3A21"/>
    <w:rsid w:val="73BBE681"/>
    <w:rsid w:val="73DDFC7C"/>
    <w:rsid w:val="73FF77B0"/>
    <w:rsid w:val="744D325D"/>
    <w:rsid w:val="74686512"/>
    <w:rsid w:val="74968031"/>
    <w:rsid w:val="753F1E42"/>
    <w:rsid w:val="755F9673"/>
    <w:rsid w:val="75BE6518"/>
    <w:rsid w:val="75BF10AB"/>
    <w:rsid w:val="75D6A4EF"/>
    <w:rsid w:val="75FE336E"/>
    <w:rsid w:val="75FF6CCA"/>
    <w:rsid w:val="76589905"/>
    <w:rsid w:val="765BFB9A"/>
    <w:rsid w:val="766E6C17"/>
    <w:rsid w:val="76B79317"/>
    <w:rsid w:val="76C653E3"/>
    <w:rsid w:val="76D5A4F2"/>
    <w:rsid w:val="76EEF10F"/>
    <w:rsid w:val="76FC49ED"/>
    <w:rsid w:val="76FFEC6D"/>
    <w:rsid w:val="777B19A5"/>
    <w:rsid w:val="777B977B"/>
    <w:rsid w:val="778F0D22"/>
    <w:rsid w:val="77B7433D"/>
    <w:rsid w:val="77BFD122"/>
    <w:rsid w:val="77BFDF7E"/>
    <w:rsid w:val="77DF17F3"/>
    <w:rsid w:val="77E66441"/>
    <w:rsid w:val="77ED78C5"/>
    <w:rsid w:val="77EFC30B"/>
    <w:rsid w:val="77F126F7"/>
    <w:rsid w:val="77F27FB8"/>
    <w:rsid w:val="77F9590F"/>
    <w:rsid w:val="77F9EF54"/>
    <w:rsid w:val="77FB3180"/>
    <w:rsid w:val="77FC8EB5"/>
    <w:rsid w:val="77FF2C0B"/>
    <w:rsid w:val="77FF81C1"/>
    <w:rsid w:val="77FF9195"/>
    <w:rsid w:val="77FF9624"/>
    <w:rsid w:val="77FFE7A9"/>
    <w:rsid w:val="78D312FB"/>
    <w:rsid w:val="78FF4EF5"/>
    <w:rsid w:val="78FF837A"/>
    <w:rsid w:val="797F8E86"/>
    <w:rsid w:val="799A1E80"/>
    <w:rsid w:val="79AF2FC8"/>
    <w:rsid w:val="79FD7F10"/>
    <w:rsid w:val="79FF4930"/>
    <w:rsid w:val="79FFDB1C"/>
    <w:rsid w:val="7A6D2CD8"/>
    <w:rsid w:val="7A6E3338"/>
    <w:rsid w:val="7A72FDDA"/>
    <w:rsid w:val="7A7EFD37"/>
    <w:rsid w:val="7A8F3924"/>
    <w:rsid w:val="7AAF5F62"/>
    <w:rsid w:val="7ABF04AB"/>
    <w:rsid w:val="7AD627A3"/>
    <w:rsid w:val="7AFB51CD"/>
    <w:rsid w:val="7AFBCDA5"/>
    <w:rsid w:val="7AFEE99B"/>
    <w:rsid w:val="7B1F822C"/>
    <w:rsid w:val="7B56F70F"/>
    <w:rsid w:val="7B5FC750"/>
    <w:rsid w:val="7B6D1C24"/>
    <w:rsid w:val="7B7789B8"/>
    <w:rsid w:val="7B7990F6"/>
    <w:rsid w:val="7B7BEBB2"/>
    <w:rsid w:val="7B8E57D9"/>
    <w:rsid w:val="7BB78AE9"/>
    <w:rsid w:val="7BBD9B33"/>
    <w:rsid w:val="7BDA35B9"/>
    <w:rsid w:val="7BDF4BD3"/>
    <w:rsid w:val="7BE166C5"/>
    <w:rsid w:val="7BE958E9"/>
    <w:rsid w:val="7BE9E681"/>
    <w:rsid w:val="7BF6DA49"/>
    <w:rsid w:val="7BFD380E"/>
    <w:rsid w:val="7BFE8702"/>
    <w:rsid w:val="7BFF71A5"/>
    <w:rsid w:val="7BFFED1A"/>
    <w:rsid w:val="7CD75B05"/>
    <w:rsid w:val="7CF7C813"/>
    <w:rsid w:val="7D1E2CF7"/>
    <w:rsid w:val="7D4F60FB"/>
    <w:rsid w:val="7D5FAB21"/>
    <w:rsid w:val="7DBF4053"/>
    <w:rsid w:val="7DBF46F1"/>
    <w:rsid w:val="7DBF6E73"/>
    <w:rsid w:val="7DDF0686"/>
    <w:rsid w:val="7DDFA1F2"/>
    <w:rsid w:val="7DE7396B"/>
    <w:rsid w:val="7DEF8A87"/>
    <w:rsid w:val="7DF2444B"/>
    <w:rsid w:val="7DFB008A"/>
    <w:rsid w:val="7DFDB9BA"/>
    <w:rsid w:val="7DFEF461"/>
    <w:rsid w:val="7E3E8A92"/>
    <w:rsid w:val="7E4F4068"/>
    <w:rsid w:val="7E5D205F"/>
    <w:rsid w:val="7E6F9D02"/>
    <w:rsid w:val="7E7768A9"/>
    <w:rsid w:val="7E7A6C36"/>
    <w:rsid w:val="7E7ADA8B"/>
    <w:rsid w:val="7E7F268D"/>
    <w:rsid w:val="7E8A3512"/>
    <w:rsid w:val="7EB2FAD0"/>
    <w:rsid w:val="7EB9923E"/>
    <w:rsid w:val="7EDF7ADE"/>
    <w:rsid w:val="7EDFF671"/>
    <w:rsid w:val="7EF6F475"/>
    <w:rsid w:val="7EF74792"/>
    <w:rsid w:val="7EF7BB25"/>
    <w:rsid w:val="7EFD6306"/>
    <w:rsid w:val="7EFF0DEA"/>
    <w:rsid w:val="7EFF690E"/>
    <w:rsid w:val="7F0F0AA0"/>
    <w:rsid w:val="7F4FB046"/>
    <w:rsid w:val="7F59012B"/>
    <w:rsid w:val="7F632A88"/>
    <w:rsid w:val="7F67AD10"/>
    <w:rsid w:val="7F6990A0"/>
    <w:rsid w:val="7F6A2BC4"/>
    <w:rsid w:val="7F6B0F72"/>
    <w:rsid w:val="7F6FD837"/>
    <w:rsid w:val="7F73A153"/>
    <w:rsid w:val="7F7A9FA3"/>
    <w:rsid w:val="7F7B7D6A"/>
    <w:rsid w:val="7F7BC7E9"/>
    <w:rsid w:val="7F7DA8D9"/>
    <w:rsid w:val="7F7F27FC"/>
    <w:rsid w:val="7F7F5F69"/>
    <w:rsid w:val="7F857AEE"/>
    <w:rsid w:val="7F9CC9C2"/>
    <w:rsid w:val="7FA0639A"/>
    <w:rsid w:val="7FA2505C"/>
    <w:rsid w:val="7FA8365A"/>
    <w:rsid w:val="7FBB33A3"/>
    <w:rsid w:val="7FBE3E4A"/>
    <w:rsid w:val="7FBF6AC5"/>
    <w:rsid w:val="7FC95989"/>
    <w:rsid w:val="7FCF4B8F"/>
    <w:rsid w:val="7FD6311A"/>
    <w:rsid w:val="7FDAAF54"/>
    <w:rsid w:val="7FDD794F"/>
    <w:rsid w:val="7FDF1A92"/>
    <w:rsid w:val="7FDFE81A"/>
    <w:rsid w:val="7FEC8EDD"/>
    <w:rsid w:val="7FED51D9"/>
    <w:rsid w:val="7FEF6670"/>
    <w:rsid w:val="7FF5A46A"/>
    <w:rsid w:val="7FF7E05E"/>
    <w:rsid w:val="7FFBA109"/>
    <w:rsid w:val="7FFD8E86"/>
    <w:rsid w:val="7FFF53B2"/>
    <w:rsid w:val="7FFF916E"/>
    <w:rsid w:val="82DC5D7A"/>
    <w:rsid w:val="8AF7D8E5"/>
    <w:rsid w:val="8DF34CBB"/>
    <w:rsid w:val="8DFD4655"/>
    <w:rsid w:val="8DFFB698"/>
    <w:rsid w:val="969F51A8"/>
    <w:rsid w:val="976BDE13"/>
    <w:rsid w:val="97F75034"/>
    <w:rsid w:val="97FFB12B"/>
    <w:rsid w:val="9AEED286"/>
    <w:rsid w:val="9DBDC50E"/>
    <w:rsid w:val="9EE197C5"/>
    <w:rsid w:val="9FBEDD3C"/>
    <w:rsid w:val="9FEF7502"/>
    <w:rsid w:val="9FF99A0D"/>
    <w:rsid w:val="A17B791D"/>
    <w:rsid w:val="A767D215"/>
    <w:rsid w:val="A7AFBD53"/>
    <w:rsid w:val="A7FA2623"/>
    <w:rsid w:val="AEDF7047"/>
    <w:rsid w:val="AEEFD3B9"/>
    <w:rsid w:val="AF2F35FD"/>
    <w:rsid w:val="AFBEF22B"/>
    <w:rsid w:val="AFCF04D6"/>
    <w:rsid w:val="AFE7A3CF"/>
    <w:rsid w:val="AFEE7B8B"/>
    <w:rsid w:val="B37DAFB7"/>
    <w:rsid w:val="B3FB8292"/>
    <w:rsid w:val="B3FE0414"/>
    <w:rsid w:val="B43DA5C5"/>
    <w:rsid w:val="B4EFBC46"/>
    <w:rsid w:val="B6EBFA10"/>
    <w:rsid w:val="B6F55A4B"/>
    <w:rsid w:val="B6FC43A2"/>
    <w:rsid w:val="B76F622C"/>
    <w:rsid w:val="B7BD9F34"/>
    <w:rsid w:val="B7DE5CDE"/>
    <w:rsid w:val="B7EF07A8"/>
    <w:rsid w:val="B7F780FD"/>
    <w:rsid w:val="B7FC6F13"/>
    <w:rsid w:val="B810E77E"/>
    <w:rsid w:val="B9AF5B78"/>
    <w:rsid w:val="BA7B8F4E"/>
    <w:rsid w:val="BB474F19"/>
    <w:rsid w:val="BB536844"/>
    <w:rsid w:val="BBBF2529"/>
    <w:rsid w:val="BBF11E96"/>
    <w:rsid w:val="BD1F6513"/>
    <w:rsid w:val="BDD61390"/>
    <w:rsid w:val="BDF7C513"/>
    <w:rsid w:val="BDF8D833"/>
    <w:rsid w:val="BE640F42"/>
    <w:rsid w:val="BEBF11E4"/>
    <w:rsid w:val="BF07B4D6"/>
    <w:rsid w:val="BF4912F1"/>
    <w:rsid w:val="BF6CE8D8"/>
    <w:rsid w:val="BFB2E3F8"/>
    <w:rsid w:val="BFB7DD1F"/>
    <w:rsid w:val="BFBA2277"/>
    <w:rsid w:val="BFBA9FB8"/>
    <w:rsid w:val="BFBFDAA2"/>
    <w:rsid w:val="BFD5EC77"/>
    <w:rsid w:val="BFEC60E9"/>
    <w:rsid w:val="BFF1F3CE"/>
    <w:rsid w:val="BFFABD85"/>
    <w:rsid w:val="BFFB0F15"/>
    <w:rsid w:val="BFFBFE90"/>
    <w:rsid w:val="BFFDA74D"/>
    <w:rsid w:val="BFFDE070"/>
    <w:rsid w:val="BFFF9145"/>
    <w:rsid w:val="C3F73B64"/>
    <w:rsid w:val="C3FD1C9B"/>
    <w:rsid w:val="C5BFB472"/>
    <w:rsid w:val="C67F5384"/>
    <w:rsid w:val="C69FED89"/>
    <w:rsid w:val="C7E5D2AF"/>
    <w:rsid w:val="CADBB256"/>
    <w:rsid w:val="CAF574D4"/>
    <w:rsid w:val="CC556960"/>
    <w:rsid w:val="CCA56AB3"/>
    <w:rsid w:val="CD3775E2"/>
    <w:rsid w:val="CD79D4CA"/>
    <w:rsid w:val="CDFE681E"/>
    <w:rsid w:val="CE9FF5C6"/>
    <w:rsid w:val="CF9F2FE4"/>
    <w:rsid w:val="CFD620B2"/>
    <w:rsid w:val="CFDB8FA9"/>
    <w:rsid w:val="CFDE2602"/>
    <w:rsid w:val="CFDEAC66"/>
    <w:rsid w:val="CFF3959C"/>
    <w:rsid w:val="CFF70E29"/>
    <w:rsid w:val="CFF78D98"/>
    <w:rsid w:val="CFFD97A8"/>
    <w:rsid w:val="CFFF66C1"/>
    <w:rsid w:val="D1DA803D"/>
    <w:rsid w:val="D27BAD34"/>
    <w:rsid w:val="D3B57084"/>
    <w:rsid w:val="D3FD6BF1"/>
    <w:rsid w:val="D537475A"/>
    <w:rsid w:val="D576DDAC"/>
    <w:rsid w:val="D5F32B40"/>
    <w:rsid w:val="D5FF3DD2"/>
    <w:rsid w:val="D65FDAA8"/>
    <w:rsid w:val="D7E73CCE"/>
    <w:rsid w:val="D7ECC691"/>
    <w:rsid w:val="D7FD6A38"/>
    <w:rsid w:val="D7FE52F1"/>
    <w:rsid w:val="D7FEF18F"/>
    <w:rsid w:val="D7FF877E"/>
    <w:rsid w:val="D8EF2F3D"/>
    <w:rsid w:val="D8FDF8D7"/>
    <w:rsid w:val="D9FD3506"/>
    <w:rsid w:val="DA7ED00C"/>
    <w:rsid w:val="DAEDEA32"/>
    <w:rsid w:val="DAFFA1FE"/>
    <w:rsid w:val="DB52E257"/>
    <w:rsid w:val="DB72C126"/>
    <w:rsid w:val="DB7F7139"/>
    <w:rsid w:val="DB7F7FB3"/>
    <w:rsid w:val="DB97F73B"/>
    <w:rsid w:val="DBBEF655"/>
    <w:rsid w:val="DBFAA6CA"/>
    <w:rsid w:val="DBFFB15F"/>
    <w:rsid w:val="DBFFE838"/>
    <w:rsid w:val="DCB4E969"/>
    <w:rsid w:val="DCBD7014"/>
    <w:rsid w:val="DD4EF1CC"/>
    <w:rsid w:val="DD7FEA70"/>
    <w:rsid w:val="DD9F309A"/>
    <w:rsid w:val="DDB703D9"/>
    <w:rsid w:val="DDCFAC1A"/>
    <w:rsid w:val="DDEB00E0"/>
    <w:rsid w:val="DDEBABCE"/>
    <w:rsid w:val="DDEBB4AB"/>
    <w:rsid w:val="DDEDF659"/>
    <w:rsid w:val="DDEFC27B"/>
    <w:rsid w:val="DDF73B34"/>
    <w:rsid w:val="DDF8B215"/>
    <w:rsid w:val="DDFA81BE"/>
    <w:rsid w:val="DDFB59D0"/>
    <w:rsid w:val="DEA72E35"/>
    <w:rsid w:val="DEBCFC27"/>
    <w:rsid w:val="DEBED430"/>
    <w:rsid w:val="DECF9A08"/>
    <w:rsid w:val="DEE786BE"/>
    <w:rsid w:val="DEEE67F8"/>
    <w:rsid w:val="DEFF6D49"/>
    <w:rsid w:val="DF3F0038"/>
    <w:rsid w:val="DF77B596"/>
    <w:rsid w:val="DF8DBBE3"/>
    <w:rsid w:val="DFAF4AB1"/>
    <w:rsid w:val="DFB1759E"/>
    <w:rsid w:val="DFBDB1EF"/>
    <w:rsid w:val="DFBFC050"/>
    <w:rsid w:val="DFDD5C0D"/>
    <w:rsid w:val="DFDE5421"/>
    <w:rsid w:val="DFE4838F"/>
    <w:rsid w:val="DFEFB8E8"/>
    <w:rsid w:val="DFF77897"/>
    <w:rsid w:val="DFFAAE45"/>
    <w:rsid w:val="DFFE6F77"/>
    <w:rsid w:val="E1FD97BA"/>
    <w:rsid w:val="E29FAE32"/>
    <w:rsid w:val="E2CFB38E"/>
    <w:rsid w:val="E373CCF9"/>
    <w:rsid w:val="E3CC4C5F"/>
    <w:rsid w:val="E3EF21EA"/>
    <w:rsid w:val="E4B9A91A"/>
    <w:rsid w:val="E57B570C"/>
    <w:rsid w:val="E59A308E"/>
    <w:rsid w:val="E59D42E4"/>
    <w:rsid w:val="E5EF7AFD"/>
    <w:rsid w:val="E72FE339"/>
    <w:rsid w:val="E77FF08E"/>
    <w:rsid w:val="E7B1A8C0"/>
    <w:rsid w:val="E7CF9D8C"/>
    <w:rsid w:val="E7EFF8BB"/>
    <w:rsid w:val="E8FCE690"/>
    <w:rsid w:val="E8FF33D9"/>
    <w:rsid w:val="E97B5CBE"/>
    <w:rsid w:val="EAF56B39"/>
    <w:rsid w:val="EB37A478"/>
    <w:rsid w:val="EBBD0337"/>
    <w:rsid w:val="EBBE1E50"/>
    <w:rsid w:val="EBE40D79"/>
    <w:rsid w:val="EBE7D613"/>
    <w:rsid w:val="ED7349A1"/>
    <w:rsid w:val="ED7B2B3F"/>
    <w:rsid w:val="EDA5E79B"/>
    <w:rsid w:val="EDF277F3"/>
    <w:rsid w:val="EDFEB4C9"/>
    <w:rsid w:val="EDFF0BBA"/>
    <w:rsid w:val="EEBA5428"/>
    <w:rsid w:val="EEF0B1A8"/>
    <w:rsid w:val="EEF5CCF0"/>
    <w:rsid w:val="EEF5DC18"/>
    <w:rsid w:val="EEF86A5E"/>
    <w:rsid w:val="EEFF61EB"/>
    <w:rsid w:val="EEFF7D14"/>
    <w:rsid w:val="EF6B5D22"/>
    <w:rsid w:val="EF77FFA7"/>
    <w:rsid w:val="EF794358"/>
    <w:rsid w:val="EF7EFD52"/>
    <w:rsid w:val="EF7F3ECC"/>
    <w:rsid w:val="EF86FB64"/>
    <w:rsid w:val="EFAE0621"/>
    <w:rsid w:val="EFBBCAA0"/>
    <w:rsid w:val="EFD98E7D"/>
    <w:rsid w:val="EFDD2292"/>
    <w:rsid w:val="EFDDE207"/>
    <w:rsid w:val="EFEBA31D"/>
    <w:rsid w:val="EFEE32BF"/>
    <w:rsid w:val="EFF11F3B"/>
    <w:rsid w:val="EFF3B01D"/>
    <w:rsid w:val="EFF3E878"/>
    <w:rsid w:val="EFF7F5EE"/>
    <w:rsid w:val="EFFDA60A"/>
    <w:rsid w:val="EFFE126F"/>
    <w:rsid w:val="EFFE9D05"/>
    <w:rsid w:val="F17ECFF3"/>
    <w:rsid w:val="F1B3E4AB"/>
    <w:rsid w:val="F1D528EB"/>
    <w:rsid w:val="F2BE8BA6"/>
    <w:rsid w:val="F2BED084"/>
    <w:rsid w:val="F2CE5297"/>
    <w:rsid w:val="F2EB8097"/>
    <w:rsid w:val="F2FF8542"/>
    <w:rsid w:val="F31B3444"/>
    <w:rsid w:val="F3379D3F"/>
    <w:rsid w:val="F37E6FC8"/>
    <w:rsid w:val="F3CB34AE"/>
    <w:rsid w:val="F3F75DD2"/>
    <w:rsid w:val="F5E74328"/>
    <w:rsid w:val="F5EF6BA5"/>
    <w:rsid w:val="F5F7321C"/>
    <w:rsid w:val="F5F7CE2C"/>
    <w:rsid w:val="F5FC5A50"/>
    <w:rsid w:val="F5FCD32C"/>
    <w:rsid w:val="F5FE7E7F"/>
    <w:rsid w:val="F5FF53CC"/>
    <w:rsid w:val="F5FFCF9D"/>
    <w:rsid w:val="F66E7383"/>
    <w:rsid w:val="F67FDAEC"/>
    <w:rsid w:val="F6ADAD19"/>
    <w:rsid w:val="F6BEBE46"/>
    <w:rsid w:val="F6D64ED9"/>
    <w:rsid w:val="F6D65C57"/>
    <w:rsid w:val="F73DA125"/>
    <w:rsid w:val="F73DFD09"/>
    <w:rsid w:val="F75558EC"/>
    <w:rsid w:val="F75FAEFD"/>
    <w:rsid w:val="F76DFB55"/>
    <w:rsid w:val="F76E3B73"/>
    <w:rsid w:val="F76F097D"/>
    <w:rsid w:val="F779DCFE"/>
    <w:rsid w:val="F77B575C"/>
    <w:rsid w:val="F79FCFAB"/>
    <w:rsid w:val="F7ABDA9D"/>
    <w:rsid w:val="F7AF16DF"/>
    <w:rsid w:val="F7BBD217"/>
    <w:rsid w:val="F7DE5D62"/>
    <w:rsid w:val="F7E1943F"/>
    <w:rsid w:val="F7FB2530"/>
    <w:rsid w:val="F7FB36BB"/>
    <w:rsid w:val="F7FD5D85"/>
    <w:rsid w:val="F7FE7F76"/>
    <w:rsid w:val="F7FF8C0C"/>
    <w:rsid w:val="F82C8A53"/>
    <w:rsid w:val="F916B6AB"/>
    <w:rsid w:val="F93D9620"/>
    <w:rsid w:val="F9BBA00E"/>
    <w:rsid w:val="F9BFC239"/>
    <w:rsid w:val="F9F97364"/>
    <w:rsid w:val="F9FBA0AB"/>
    <w:rsid w:val="F9FF0AA5"/>
    <w:rsid w:val="FA6E0F35"/>
    <w:rsid w:val="FA7C6F67"/>
    <w:rsid w:val="FAADA174"/>
    <w:rsid w:val="FABE5208"/>
    <w:rsid w:val="FAC7AB12"/>
    <w:rsid w:val="FAF908DE"/>
    <w:rsid w:val="FAFF0A14"/>
    <w:rsid w:val="FB155651"/>
    <w:rsid w:val="FB28429A"/>
    <w:rsid w:val="FB3F747D"/>
    <w:rsid w:val="FB6EDFF7"/>
    <w:rsid w:val="FB7B44EE"/>
    <w:rsid w:val="FB7D1B70"/>
    <w:rsid w:val="FBA51C51"/>
    <w:rsid w:val="FBB27E14"/>
    <w:rsid w:val="FBBB40AC"/>
    <w:rsid w:val="FBE79094"/>
    <w:rsid w:val="FBF5C929"/>
    <w:rsid w:val="FBFB0D6A"/>
    <w:rsid w:val="FBFB4BD5"/>
    <w:rsid w:val="FBFE2A84"/>
    <w:rsid w:val="FBFF7052"/>
    <w:rsid w:val="FBFF8F9D"/>
    <w:rsid w:val="FBFFB349"/>
    <w:rsid w:val="FC4F8F6A"/>
    <w:rsid w:val="FC7A4ABC"/>
    <w:rsid w:val="FCA76BF2"/>
    <w:rsid w:val="FCBA0F62"/>
    <w:rsid w:val="FCD7ABA2"/>
    <w:rsid w:val="FCDD9E84"/>
    <w:rsid w:val="FCF3451A"/>
    <w:rsid w:val="FD0CE77B"/>
    <w:rsid w:val="FD38FCB8"/>
    <w:rsid w:val="FD5BDF46"/>
    <w:rsid w:val="FD758DDD"/>
    <w:rsid w:val="FD777B4D"/>
    <w:rsid w:val="FD7B6171"/>
    <w:rsid w:val="FD7E35C8"/>
    <w:rsid w:val="FD9C28EC"/>
    <w:rsid w:val="FDA63155"/>
    <w:rsid w:val="FDB94ACB"/>
    <w:rsid w:val="FDCFA62F"/>
    <w:rsid w:val="FDD2F698"/>
    <w:rsid w:val="FDD627E3"/>
    <w:rsid w:val="FDDAC9A0"/>
    <w:rsid w:val="FDDF22E4"/>
    <w:rsid w:val="FDDF8020"/>
    <w:rsid w:val="FDDFC119"/>
    <w:rsid w:val="FDE7DDF3"/>
    <w:rsid w:val="FDF39E38"/>
    <w:rsid w:val="FDF9B3A6"/>
    <w:rsid w:val="FDFBB36C"/>
    <w:rsid w:val="FDFF9ACC"/>
    <w:rsid w:val="FE4F0521"/>
    <w:rsid w:val="FE7DD8FA"/>
    <w:rsid w:val="FEAF22E4"/>
    <w:rsid w:val="FEB66362"/>
    <w:rsid w:val="FEB67C3B"/>
    <w:rsid w:val="FEB6EFB1"/>
    <w:rsid w:val="FEB7C67D"/>
    <w:rsid w:val="FEBEEA1E"/>
    <w:rsid w:val="FECF6D3E"/>
    <w:rsid w:val="FED7E1CD"/>
    <w:rsid w:val="FEE7716E"/>
    <w:rsid w:val="FEE7CA41"/>
    <w:rsid w:val="FEED6EE0"/>
    <w:rsid w:val="FEF5E844"/>
    <w:rsid w:val="FEF68EB8"/>
    <w:rsid w:val="FEF6C7BE"/>
    <w:rsid w:val="FEF7107A"/>
    <w:rsid w:val="FEFB3A8E"/>
    <w:rsid w:val="FEFC0E60"/>
    <w:rsid w:val="FEFECAEB"/>
    <w:rsid w:val="FEFF4754"/>
    <w:rsid w:val="FEFFA0F2"/>
    <w:rsid w:val="FEFFAE23"/>
    <w:rsid w:val="FF3FCC33"/>
    <w:rsid w:val="FF541E17"/>
    <w:rsid w:val="FF5CDA88"/>
    <w:rsid w:val="FF7553C9"/>
    <w:rsid w:val="FF757A4E"/>
    <w:rsid w:val="FF761B52"/>
    <w:rsid w:val="FF763338"/>
    <w:rsid w:val="FF7C6A51"/>
    <w:rsid w:val="FF7CBC0D"/>
    <w:rsid w:val="FF7D222C"/>
    <w:rsid w:val="FF7F96E7"/>
    <w:rsid w:val="FF8B4688"/>
    <w:rsid w:val="FF93B319"/>
    <w:rsid w:val="FF9769E1"/>
    <w:rsid w:val="FFA872F2"/>
    <w:rsid w:val="FFAB83BF"/>
    <w:rsid w:val="FFAE016D"/>
    <w:rsid w:val="FFAF29A6"/>
    <w:rsid w:val="FFB651BE"/>
    <w:rsid w:val="FFB93084"/>
    <w:rsid w:val="FFBDA797"/>
    <w:rsid w:val="FFBE15A2"/>
    <w:rsid w:val="FFDE6B3B"/>
    <w:rsid w:val="FFDF195C"/>
    <w:rsid w:val="FFDF9D47"/>
    <w:rsid w:val="FFDFB173"/>
    <w:rsid w:val="FFE2AA69"/>
    <w:rsid w:val="FFE3E2F6"/>
    <w:rsid w:val="FFE7900D"/>
    <w:rsid w:val="FFEEBC82"/>
    <w:rsid w:val="FFF5508D"/>
    <w:rsid w:val="FFF62704"/>
    <w:rsid w:val="FFF722E0"/>
    <w:rsid w:val="FFF77D09"/>
    <w:rsid w:val="FFF7EEA7"/>
    <w:rsid w:val="FFFB040D"/>
    <w:rsid w:val="FFFD2D68"/>
    <w:rsid w:val="FFFDC160"/>
    <w:rsid w:val="FFFDE916"/>
    <w:rsid w:val="FFFE0426"/>
    <w:rsid w:val="FFFE6ED3"/>
    <w:rsid w:val="FFFE7A99"/>
    <w:rsid w:val="FFFE9717"/>
    <w:rsid w:val="FFFF266E"/>
    <w:rsid w:val="FFFF6EA8"/>
    <w:rsid w:val="FFFF84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中等线简体" w:cs="Times New Roman"/>
      <w:kern w:val="2"/>
      <w:sz w:val="32"/>
      <w:szCs w:val="32"/>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Document Map"/>
    <w:basedOn w:val="1"/>
    <w:semiHidden/>
    <w:qFormat/>
    <w:uiPriority w:val="0"/>
    <w:pPr>
      <w:shd w:val="clear" w:color="auto" w:fill="000080"/>
    </w:pPr>
  </w:style>
  <w:style w:type="paragraph" w:styleId="5">
    <w:name w:val="Date"/>
    <w:basedOn w:val="1"/>
    <w:next w:val="1"/>
    <w:link w:val="16"/>
    <w:qFormat/>
    <w:uiPriority w:val="0"/>
    <w:pPr>
      <w:ind w:left="100" w:leftChars="2500"/>
    </w:pPr>
  </w:style>
  <w:style w:type="paragraph" w:styleId="6">
    <w:name w:val="Balloon Text"/>
    <w:basedOn w:val="1"/>
    <w:link w:val="17"/>
    <w:qFormat/>
    <w:uiPriority w:val="0"/>
    <w:rPr>
      <w:sz w:val="18"/>
      <w:szCs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page number"/>
    <w:qFormat/>
    <w:uiPriority w:val="0"/>
  </w:style>
  <w:style w:type="character" w:styleId="14">
    <w:name w:val="line number"/>
    <w:qFormat/>
    <w:uiPriority w:val="0"/>
  </w:style>
  <w:style w:type="character" w:styleId="15">
    <w:name w:val="Hyperlink"/>
    <w:qFormat/>
    <w:uiPriority w:val="0"/>
    <w:rPr>
      <w:color w:val="0000FF"/>
      <w:u w:val="single"/>
    </w:rPr>
  </w:style>
  <w:style w:type="character" w:customStyle="1" w:styleId="16">
    <w:name w:val="日期 字符"/>
    <w:link w:val="5"/>
    <w:qFormat/>
    <w:uiPriority w:val="0"/>
    <w:rPr>
      <w:rFonts w:eastAsia="方正中等线简体"/>
      <w:kern w:val="2"/>
      <w:sz w:val="32"/>
      <w:szCs w:val="32"/>
    </w:rPr>
  </w:style>
  <w:style w:type="character" w:customStyle="1" w:styleId="17">
    <w:name w:val="批注框文本 字符"/>
    <w:link w:val="6"/>
    <w:qFormat/>
    <w:uiPriority w:val="0"/>
    <w:rPr>
      <w:rFonts w:eastAsia="方正中等线简体"/>
      <w:kern w:val="2"/>
      <w:sz w:val="18"/>
      <w:szCs w:val="18"/>
    </w:rPr>
  </w:style>
  <w:style w:type="character" w:customStyle="1" w:styleId="18">
    <w:name w:val="页脚 字符"/>
    <w:link w:val="7"/>
    <w:qFormat/>
    <w:uiPriority w:val="0"/>
    <w:rPr>
      <w:kern w:val="2"/>
      <w:sz w:val="18"/>
      <w:szCs w:val="18"/>
    </w:rPr>
  </w:style>
  <w:style w:type="character" w:customStyle="1" w:styleId="19">
    <w:name w:val="页眉 字符"/>
    <w:link w:val="8"/>
    <w:qFormat/>
    <w:uiPriority w:val="0"/>
    <w:rPr>
      <w:rFonts w:eastAsia="方正中等线简体"/>
      <w:kern w:val="2"/>
      <w:sz w:val="18"/>
      <w:szCs w:val="18"/>
    </w:rPr>
  </w:style>
  <w:style w:type="paragraph" w:customStyle="1" w:styleId="20">
    <w:name w:val=" Char Char Char Char Char Char Char Char Char Char Char Char Char Char Char Char"/>
    <w:basedOn w:val="1"/>
    <w:qFormat/>
    <w:uiPriority w:val="0"/>
    <w:pPr>
      <w:widowControl/>
      <w:adjustRightInd w:val="0"/>
      <w:snapToGrid w:val="0"/>
      <w:spacing w:after="160" w:line="240" w:lineRule="exact"/>
      <w:jc w:val="center"/>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408</Words>
  <Characters>2332</Characters>
  <Lines>19</Lines>
  <Paragraphs>5</Paragraphs>
  <TotalTime>81</TotalTime>
  <ScaleCrop>false</ScaleCrop>
  <LinksUpToDate>false</LinksUpToDate>
  <CharactersWithSpaces>2735</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2023-01-07T17:38:00Z</dcterms:created>
  <dc:creator>张慧翔</dc:creator>
  <cp:lastModifiedBy>Jtj</cp:lastModifiedBy>
  <cp:lastPrinted>2024-01-04T17:30:00Z</cp:lastPrinted>
  <dcterms:modified xsi:type="dcterms:W3CDTF">2024-01-04T09:35:47Z</dcterms:modified>
  <dc:title>北京市质量技术监督局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9961B6E05B2957F3730B9665AF448F47</vt:lpwstr>
  </property>
</Properties>
</file>